
<file path=[Content_Types].xml><?xml version="1.0" encoding="utf-8"?>
<Types xmlns="http://schemas.openxmlformats.org/package/2006/content-types">
  <Default Extension="emf" ContentType="image/x-emf"/>
  <Default Extension="ICO" ContentType="image/.ico"/>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2f9a12ed56c04698" Type="http://schemas.microsoft.com/office/2007/relationships/ui/extensibility" Target="customUI/customUI14.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871F6C4" w14:textId="28AABCA7" w:rsidR="009F7FCE" w:rsidRPr="00EE426C" w:rsidRDefault="00142185" w:rsidP="00C24DEF">
      <w:pPr>
        <w:pStyle w:val="papertitle"/>
      </w:pPr>
      <w:r>
        <w:t>Seismic</w:t>
      </w:r>
      <w:r w:rsidR="009C4647" w:rsidRPr="009C4647">
        <w:t xml:space="preserve"> Performance </w:t>
      </w:r>
      <w:r>
        <w:t xml:space="preserve">Evaluation </w:t>
      </w:r>
      <w:r w:rsidR="009C4647" w:rsidRPr="009C4647">
        <w:t>of N</w:t>
      </w:r>
      <w:r w:rsidR="00F63BE6">
        <w:t xml:space="preserve">on-Structural Elements </w:t>
      </w:r>
      <w:r w:rsidR="009C4647" w:rsidRPr="009C4647">
        <w:t>Using Shake Table Test</w:t>
      </w:r>
    </w:p>
    <w:p w14:paraId="539B8768" w14:textId="77777777" w:rsidR="009C4647" w:rsidRPr="000D7569" w:rsidRDefault="009C4647" w:rsidP="009C4647">
      <w:pPr>
        <w:spacing w:after="200" w:line="220" w:lineRule="atLeast"/>
        <w:jc w:val="center"/>
      </w:pPr>
      <w:r>
        <w:t>Shounak Mitra</w:t>
      </w:r>
      <w:r w:rsidRPr="000D7569">
        <w:rPr>
          <w:vertAlign w:val="superscript"/>
        </w:rPr>
        <w:t>1</w:t>
      </w:r>
      <w:r w:rsidRPr="000D7569">
        <w:t xml:space="preserve"> and </w:t>
      </w:r>
      <w:r>
        <w:t>Kamalika Kundu</w:t>
      </w:r>
      <w:r w:rsidRPr="000D7569">
        <w:rPr>
          <w:vertAlign w:val="superscript"/>
        </w:rPr>
        <w:t>2</w:t>
      </w:r>
    </w:p>
    <w:p w14:paraId="10A6917A" w14:textId="77777777" w:rsidR="009C4647" w:rsidRDefault="009C4647" w:rsidP="009C4647">
      <w:pPr>
        <w:spacing w:after="200" w:line="220" w:lineRule="atLeast"/>
        <w:contextualSpacing/>
        <w:jc w:val="center"/>
        <w:rPr>
          <w:sz w:val="18"/>
          <w:vertAlign w:val="superscript"/>
        </w:rPr>
      </w:pPr>
      <w:r>
        <w:rPr>
          <w:sz w:val="18"/>
          <w:vertAlign w:val="superscript"/>
        </w:rPr>
        <w:t>1</w:t>
      </w:r>
      <w:r w:rsidRPr="000D7569">
        <w:rPr>
          <w:sz w:val="18"/>
        </w:rPr>
        <w:t xml:space="preserve"> </w:t>
      </w:r>
      <w:r>
        <w:rPr>
          <w:sz w:val="18"/>
        </w:rPr>
        <w:t>Hilti India Pvt. Ltd.</w:t>
      </w:r>
      <w:r w:rsidRPr="000D7569">
        <w:rPr>
          <w:sz w:val="18"/>
        </w:rPr>
        <w:t xml:space="preserve">, </w:t>
      </w:r>
      <w:r>
        <w:rPr>
          <w:sz w:val="18"/>
        </w:rPr>
        <w:t>Gurugram 122002</w:t>
      </w:r>
      <w:r w:rsidRPr="000D7569">
        <w:rPr>
          <w:sz w:val="18"/>
        </w:rPr>
        <w:t xml:space="preserve">, </w:t>
      </w:r>
      <w:r>
        <w:rPr>
          <w:sz w:val="18"/>
        </w:rPr>
        <w:t>Haryana, India</w:t>
      </w:r>
      <w:r w:rsidRPr="000D7569">
        <w:rPr>
          <w:sz w:val="18"/>
          <w:vertAlign w:val="superscript"/>
        </w:rPr>
        <w:t xml:space="preserve"> </w:t>
      </w:r>
    </w:p>
    <w:p w14:paraId="79BEF943" w14:textId="4F2DB0F5" w:rsidR="008C7910" w:rsidRDefault="009C4647" w:rsidP="008C7910">
      <w:pPr>
        <w:spacing w:after="200" w:line="220" w:lineRule="atLeast"/>
        <w:contextualSpacing/>
        <w:jc w:val="center"/>
        <w:rPr>
          <w:rFonts w:ascii="Courier" w:hAnsi="Courier"/>
          <w:noProof/>
          <w:sz w:val="18"/>
        </w:rPr>
      </w:pPr>
      <w:r>
        <w:rPr>
          <w:sz w:val="18"/>
          <w:vertAlign w:val="superscript"/>
        </w:rPr>
        <w:t>2</w:t>
      </w:r>
      <w:r w:rsidRPr="000D7569">
        <w:rPr>
          <w:sz w:val="18"/>
        </w:rPr>
        <w:t xml:space="preserve"> </w:t>
      </w:r>
      <w:r>
        <w:rPr>
          <w:sz w:val="18"/>
        </w:rPr>
        <w:t>Hilti Asia Pacific Pte Ltd.</w:t>
      </w:r>
      <w:r w:rsidRPr="000D7569">
        <w:rPr>
          <w:sz w:val="18"/>
        </w:rPr>
        <w:t xml:space="preserve">, </w:t>
      </w:r>
      <w:r>
        <w:rPr>
          <w:sz w:val="18"/>
        </w:rPr>
        <w:t>Singapore</w:t>
      </w:r>
      <w:r w:rsidRPr="000D7569">
        <w:rPr>
          <w:sz w:val="18"/>
        </w:rPr>
        <w:t xml:space="preserve"> </w:t>
      </w:r>
      <w:r>
        <w:rPr>
          <w:sz w:val="18"/>
        </w:rPr>
        <w:t>1</w:t>
      </w:r>
      <w:r w:rsidR="00FD2ECE">
        <w:rPr>
          <w:sz w:val="18"/>
        </w:rPr>
        <w:t>17372</w:t>
      </w:r>
      <w:r w:rsidRPr="000D7569">
        <w:rPr>
          <w:sz w:val="18"/>
        </w:rPr>
        <w:t xml:space="preserve">, </w:t>
      </w:r>
      <w:r>
        <w:rPr>
          <w:sz w:val="18"/>
        </w:rPr>
        <w:t>Singapore</w:t>
      </w:r>
    </w:p>
    <w:p w14:paraId="3EE0417E" w14:textId="47EC33F1" w:rsidR="008C7910" w:rsidRDefault="00000000" w:rsidP="008C7910">
      <w:pPr>
        <w:spacing w:after="200" w:line="220" w:lineRule="atLeast"/>
        <w:contextualSpacing/>
        <w:jc w:val="center"/>
        <w:rPr>
          <w:rFonts w:ascii="Courier" w:hAnsi="Courier"/>
          <w:noProof/>
          <w:sz w:val="18"/>
        </w:rPr>
      </w:pPr>
      <w:hyperlink r:id="rId8" w:history="1">
        <w:r w:rsidR="008C7910" w:rsidRPr="00FD267E">
          <w:rPr>
            <w:rStyle w:val="Hyperlink"/>
            <w:rFonts w:ascii="Courier" w:hAnsi="Courier"/>
            <w:noProof/>
            <w:sz w:val="18"/>
          </w:rPr>
          <w:t>Shounak.mitra@hilti.com</w:t>
        </w:r>
      </w:hyperlink>
    </w:p>
    <w:p w14:paraId="76C5DBCA" w14:textId="519E3EE9" w:rsidR="008C7910" w:rsidRDefault="008C7910" w:rsidP="008C7910">
      <w:pPr>
        <w:spacing w:after="200" w:line="220" w:lineRule="atLeast"/>
        <w:contextualSpacing/>
        <w:jc w:val="center"/>
        <w:rPr>
          <w:rFonts w:ascii="Courier" w:hAnsi="Courier"/>
          <w:noProof/>
          <w:sz w:val="18"/>
        </w:rPr>
      </w:pPr>
      <w:r>
        <w:rPr>
          <w:rFonts w:ascii="Courier" w:hAnsi="Courier"/>
          <w:noProof/>
          <w:sz w:val="18"/>
        </w:rPr>
        <w:t>Kamalika.kundu@hilti.com</w:t>
      </w:r>
    </w:p>
    <w:p w14:paraId="6876AA72" w14:textId="79F4C851" w:rsidR="009C4647" w:rsidRPr="00EE426C" w:rsidRDefault="009B2539" w:rsidP="00EE426C">
      <w:pPr>
        <w:pStyle w:val="abstract"/>
        <w:spacing w:after="0"/>
        <w:ind w:firstLine="0"/>
      </w:pPr>
      <w:r w:rsidRPr="00EE426C">
        <w:rPr>
          <w:b/>
          <w:bCs/>
        </w:rPr>
        <w:t xml:space="preserve">Abstract. </w:t>
      </w:r>
      <w:r w:rsidR="009C4647" w:rsidRPr="009C4647">
        <w:t>As our cities get more crowded, high-rise buildings have become a common sight. Often these buildings are covered in a labyrinth of pipes, cables and other utilities that are crucial for functioning of building services. These appendages are termed as Non-Structural Elements (NSEs) and are attached to the structural elements such as slab,</w:t>
      </w:r>
      <w:r w:rsidR="009C65E2">
        <w:t xml:space="preserve"> beam,</w:t>
      </w:r>
      <w:r w:rsidR="009C4647" w:rsidRPr="009C4647">
        <w:t xml:space="preserve"> column, etc. During an earthquake, NSEs may sway and get damaged due to forces induced by ground motions if not secured properly. Any damage to NSEs may disrupt the building services and create blockage which may hinder evacuation. In fact, NSEs may account up to 85% of project cost depending on the type of building. A test project was carried out to evaluate performance of conventional and modular non-structural supports subject to base excitation using shake table. This paper summarizes the finding of the </w:t>
      </w:r>
      <w:r w:rsidR="00566164">
        <w:t>research program</w:t>
      </w:r>
      <w:r w:rsidR="009C4647" w:rsidRPr="009C4647">
        <w:t xml:space="preserve"> and recommends practices that may be adopted to minimize damage to NSEs during earthquake.</w:t>
      </w:r>
    </w:p>
    <w:p w14:paraId="2B75BA2C" w14:textId="7CC4EB27" w:rsidR="009C4647" w:rsidRPr="00EE426C" w:rsidRDefault="009B2539" w:rsidP="00EE426C">
      <w:pPr>
        <w:pStyle w:val="keywords"/>
      </w:pPr>
      <w:r w:rsidRPr="00EE426C">
        <w:rPr>
          <w:b/>
          <w:bCs/>
        </w:rPr>
        <w:t>Keywords:</w:t>
      </w:r>
      <w:r w:rsidRPr="00EE426C">
        <w:t xml:space="preserve"> </w:t>
      </w:r>
      <w:r w:rsidR="009C4647" w:rsidRPr="009C4647">
        <w:t>Seismic, Anchors, Supports, Pipes, Cable Tray; High-rise Buildings, Shake Table Test.</w:t>
      </w:r>
    </w:p>
    <w:p w14:paraId="5E73ECE5" w14:textId="03DBD07A" w:rsidR="009C4647" w:rsidRDefault="008C7910" w:rsidP="00C24DEF">
      <w:pPr>
        <w:pStyle w:val="heading1"/>
      </w:pPr>
      <w:r>
        <w:t>Introduction</w:t>
      </w:r>
    </w:p>
    <w:p w14:paraId="0DB4434D" w14:textId="77777777" w:rsidR="00004FB4" w:rsidRPr="00004FB4" w:rsidRDefault="00004FB4" w:rsidP="00004FB4">
      <w:pPr>
        <w:pStyle w:val="ListParagraph"/>
        <w:keepNext/>
        <w:keepLines/>
        <w:numPr>
          <w:ilvl w:val="1"/>
          <w:numId w:val="9"/>
        </w:numPr>
        <w:suppressAutoHyphens/>
        <w:spacing w:before="360" w:after="160"/>
        <w:contextualSpacing w:val="0"/>
        <w:jc w:val="left"/>
        <w:outlineLvl w:val="1"/>
        <w:rPr>
          <w:b/>
          <w:vanish/>
        </w:rPr>
      </w:pPr>
    </w:p>
    <w:p w14:paraId="370CA1CC" w14:textId="4E906F24" w:rsidR="003108B3" w:rsidRDefault="2AA2AAE3" w:rsidP="00004FB4">
      <w:pPr>
        <w:ind w:firstLine="0"/>
      </w:pPr>
      <w:r w:rsidRPr="06E65775">
        <w:rPr>
          <w:lang w:val="en-IN"/>
        </w:rPr>
        <w:t xml:space="preserve">Every building has a number of other components that are necessary for its proper operation, including its contents, its appendages, services, and utilities like cable trays, HVAC ducts, and firefighting pipes (Fig. 1). These are referred to as Non-Structural Elements (NSE).  The majority of residential buildings, as well as nearly all commercial buildings, have their building services suspended from the ceiling via a supporting structure. In the event of an earthquake, failure of these systems could result in fatalities, costly repairs, obstruction of escape routes endangering people's safety, and in certain situations, hinder the effective functioning of structures such as hospitals, data </w:t>
      </w:r>
      <w:proofErr w:type="spellStart"/>
      <w:r w:rsidRPr="06E65775">
        <w:rPr>
          <w:lang w:val="en-IN"/>
        </w:rPr>
        <w:t>centers</w:t>
      </w:r>
      <w:proofErr w:type="spellEnd"/>
      <w:r w:rsidRPr="06E65775">
        <w:rPr>
          <w:lang w:val="en-IN"/>
        </w:rPr>
        <w:t>, airports, etc.</w:t>
      </w:r>
      <w:r w:rsidRPr="06E65775">
        <w:t xml:space="preserve"> </w:t>
      </w:r>
      <w:r w:rsidR="4C7E759B">
        <w:t xml:space="preserve">The provisions in the National Building Code 2016 </w:t>
      </w:r>
      <w:r w:rsidR="63D49F3D">
        <w:t xml:space="preserve">[1] </w:t>
      </w:r>
      <w:r w:rsidR="4C7E759B">
        <w:t xml:space="preserve">clearly highlight the </w:t>
      </w:r>
      <w:r w:rsidR="667022A3">
        <w:t xml:space="preserve">need for </w:t>
      </w:r>
      <w:r w:rsidR="4C7E759B">
        <w:t xml:space="preserve">structural safety of the supports for mechanical, electrical and plumbing (MEP) systems. </w:t>
      </w:r>
      <w:r w:rsidR="0AA0DF87" w:rsidRPr="06E65775">
        <w:t xml:space="preserve"> According to National Building Code 2016, the NSEs should be securely fastened to the primary structure to prevent them from toppling over and hurting building occupants or blocking escape routes during an earthquake. Following an earthquake, the services and equipment meant to ensure the safety of the building's </w:t>
      </w:r>
      <w:r w:rsidR="0AA0DF87" w:rsidRPr="06E65775">
        <w:lastRenderedPageBreak/>
        <w:t>occupants—such as emergency lighting and fire suppression—should keep working. After a strong earthquake, NSEs that are vital to the operation of important structures, such as hospitals, airports, emergency response centers, data centers, and structures essential to the country's defense, should keep working. In the case of tall structures, IS 16700 [2] also makes similar suggestions.</w:t>
      </w:r>
      <w:r w:rsidR="4C7E759B">
        <w:t xml:space="preserve"> </w:t>
      </w:r>
      <w:r w:rsidR="74821BE4" w:rsidRPr="06E65775">
        <w:t xml:space="preserve"> The proposed modification of IS 1893 [3] addresses these requirements and makes it evident that non-structural elements—referred to in the standard as architectural elements and utilities—have adequate performance. The majority of projects do not yet employ sufficient safety measures for the NSE</w:t>
      </w:r>
      <w:r w:rsidR="0090366B">
        <w:t>s</w:t>
      </w:r>
      <w:r w:rsidR="74821BE4" w:rsidRPr="06E65775">
        <w:t>, and conventional support systems are used instead, which are only intended to withstand gravity loads and do not take seismic induced forces into account.</w:t>
      </w:r>
    </w:p>
    <w:p w14:paraId="1441FF3D" w14:textId="15B1FE03" w:rsidR="003108B3" w:rsidRDefault="003108B3" w:rsidP="0057560D">
      <w:r>
        <w:t xml:space="preserve">A project was undertaken to study the behavior of NSEs supported using conventional and braced supports, when subjected to seismic excitation </w:t>
      </w:r>
      <w:r w:rsidRPr="003108B3">
        <w:t>and, through the findings, instill a strong sense of awareness among the sector regarding the importance of implementing a well-designed support system</w:t>
      </w:r>
      <w:r w:rsidRPr="06E65775">
        <w:t>.</w:t>
      </w:r>
    </w:p>
    <w:p w14:paraId="52C49BE1" w14:textId="77777777" w:rsidR="009C65E2" w:rsidRDefault="009C65E2" w:rsidP="009C65E2">
      <w:pPr>
        <w:ind w:firstLine="0"/>
      </w:pPr>
    </w:p>
    <w:p w14:paraId="7062B875" w14:textId="1BFC5D47" w:rsidR="009C65E2" w:rsidRDefault="009C65E2" w:rsidP="009C65E2">
      <w:pPr>
        <w:ind w:firstLine="0"/>
        <w:jc w:val="center"/>
      </w:pPr>
      <w:r w:rsidRPr="009C65E2">
        <w:rPr>
          <w:noProof/>
        </w:rPr>
        <w:drawing>
          <wp:inline distT="0" distB="0" distL="0" distR="0" wp14:anchorId="3B932FA1" wp14:editId="237F9239">
            <wp:extent cx="3822700" cy="2631905"/>
            <wp:effectExtent l="0" t="0" r="6350" b="0"/>
            <wp:docPr id="931917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17364" name=""/>
                    <pic:cNvPicPr/>
                  </pic:nvPicPr>
                  <pic:blipFill>
                    <a:blip r:embed="rId9"/>
                    <a:stretch>
                      <a:fillRect/>
                    </a:stretch>
                  </pic:blipFill>
                  <pic:spPr>
                    <a:xfrm>
                      <a:off x="0" y="0"/>
                      <a:ext cx="3831374" cy="2637877"/>
                    </a:xfrm>
                    <a:prstGeom prst="rect">
                      <a:avLst/>
                    </a:prstGeom>
                  </pic:spPr>
                </pic:pic>
              </a:graphicData>
            </a:graphic>
          </wp:inline>
        </w:drawing>
      </w:r>
    </w:p>
    <w:p w14:paraId="60C341AA" w14:textId="3621B777" w:rsidR="00736BFB" w:rsidRPr="0090366B" w:rsidRDefault="00736BFB" w:rsidP="00736BFB">
      <w:pPr>
        <w:pStyle w:val="figurecaption"/>
      </w:pPr>
      <w:r w:rsidRPr="0090366B">
        <w:rPr>
          <w:b/>
        </w:rPr>
        <w:t xml:space="preserve">Fig. </w:t>
      </w:r>
      <w:r w:rsidRPr="0090366B">
        <w:rPr>
          <w:b/>
        </w:rPr>
        <w:fldChar w:fldCharType="begin"/>
      </w:r>
      <w:r w:rsidRPr="0090366B">
        <w:rPr>
          <w:b/>
        </w:rPr>
        <w:instrText xml:space="preserve"> SEQ "Figure" \* MERGEFORMAT </w:instrText>
      </w:r>
      <w:r w:rsidRPr="0090366B">
        <w:rPr>
          <w:b/>
        </w:rPr>
        <w:fldChar w:fldCharType="separate"/>
      </w:r>
      <w:r w:rsidR="0095423E">
        <w:rPr>
          <w:b/>
          <w:noProof/>
        </w:rPr>
        <w:t>1</w:t>
      </w:r>
      <w:r w:rsidRPr="0090366B">
        <w:rPr>
          <w:b/>
        </w:rPr>
        <w:fldChar w:fldCharType="end"/>
      </w:r>
      <w:r w:rsidRPr="0090366B">
        <w:rPr>
          <w:b/>
        </w:rPr>
        <w:t>.</w:t>
      </w:r>
      <w:r w:rsidRPr="0090366B">
        <w:t xml:space="preserve"> Typical NSEs in a building</w:t>
      </w:r>
    </w:p>
    <w:p w14:paraId="0B441CA2" w14:textId="77777777" w:rsidR="00736BFB" w:rsidRPr="0090366B" w:rsidRDefault="00736BFB" w:rsidP="06E65775">
      <w:pPr>
        <w:ind w:firstLine="0"/>
        <w:jc w:val="center"/>
      </w:pPr>
    </w:p>
    <w:p w14:paraId="6CAC5F94" w14:textId="20DAEFF6" w:rsidR="00602B60" w:rsidRPr="0090366B" w:rsidRDefault="3D1CC712" w:rsidP="00004FB4">
      <w:pPr>
        <w:pStyle w:val="heading2"/>
        <w:spacing w:before="0"/>
      </w:pPr>
      <w:r w:rsidRPr="0090366B">
        <w:t>Research Significance</w:t>
      </w:r>
    </w:p>
    <w:p w14:paraId="2BDB9B3E" w14:textId="692089BA" w:rsidR="00602B60" w:rsidRDefault="3D1CC712" w:rsidP="0090366B">
      <w:pPr>
        <w:ind w:firstLine="0"/>
      </w:pPr>
      <w:r w:rsidRPr="0090366B">
        <w:t xml:space="preserve">The </w:t>
      </w:r>
      <w:r w:rsidR="3D2285C7" w:rsidRPr="0090366B">
        <w:t xml:space="preserve">primary objective of the </w:t>
      </w:r>
      <w:r w:rsidRPr="0090366B">
        <w:t>research project was to evaluate the seismic performance of non-structural support systems</w:t>
      </w:r>
      <w:r>
        <w:t xml:space="preserve"> subjected to seismic excitation</w:t>
      </w:r>
      <w:r w:rsidR="0090366B">
        <w:t xml:space="preserve"> </w:t>
      </w:r>
      <w:r w:rsidR="0090366B" w:rsidRPr="06E65775">
        <w:t>earthquakes</w:t>
      </w:r>
      <w:r w:rsidR="003108B3">
        <w:t>.</w:t>
      </w:r>
      <w:r w:rsidR="0090366B" w:rsidRPr="06E65775">
        <w:t xml:space="preserve"> </w:t>
      </w:r>
      <w:r w:rsidR="1D128378" w:rsidRPr="06E65775">
        <w:t xml:space="preserve">The study was expanded to include an analysis and comparison of the effectiveness of conventional systems used to support building utilities with a system sufficiently engineered to resist moderate to severe earthquake forces. </w:t>
      </w:r>
    </w:p>
    <w:p w14:paraId="0FE5E77D" w14:textId="742D1400" w:rsidR="008C7910" w:rsidRDefault="008C7910" w:rsidP="008C7910">
      <w:pPr>
        <w:pStyle w:val="heading1"/>
      </w:pPr>
      <w:r>
        <w:lastRenderedPageBreak/>
        <w:t xml:space="preserve">Experimental </w:t>
      </w:r>
      <w:r w:rsidR="00046E30">
        <w:t>Methodology</w:t>
      </w:r>
    </w:p>
    <w:p w14:paraId="5ADEB47C" w14:textId="3CCC4EB3" w:rsidR="00004FB4" w:rsidRPr="00004FB4" w:rsidRDefault="00004FB4" w:rsidP="0090366B">
      <w:pPr>
        <w:pStyle w:val="p1a"/>
        <w:rPr>
          <w:b/>
          <w:vanish/>
        </w:rPr>
      </w:pPr>
    </w:p>
    <w:p w14:paraId="1003CC55" w14:textId="6CB5891B" w:rsidR="003E4304" w:rsidRDefault="061054FE" w:rsidP="0090366B">
      <w:pPr>
        <w:ind w:firstLine="0"/>
      </w:pPr>
      <w:r w:rsidRPr="06E65775">
        <w:t xml:space="preserve">A three-story steel building with utility services installed on each floor was constructed as part of the test program, and the system was then put through an earthquake simulation on a shake table (Fig. 2). Non-structural components of the structure, such as cable trays, firefighting pipes, and multiple pipes, were supported by both conventional and braced support systems and suspended from the soffit of the slab at each floor level. </w:t>
      </w:r>
    </w:p>
    <w:p w14:paraId="568A968C" w14:textId="77777777" w:rsidR="003108B3" w:rsidRPr="00004FB4" w:rsidRDefault="003108B3" w:rsidP="0090366B">
      <w:pPr>
        <w:ind w:firstLine="0"/>
      </w:pPr>
    </w:p>
    <w:p w14:paraId="1C0DF22B" w14:textId="04938A5C" w:rsidR="003E4304" w:rsidRPr="003E4304" w:rsidRDefault="006B3E33" w:rsidP="00004FB4">
      <w:pPr>
        <w:jc w:val="center"/>
      </w:pPr>
      <w:r>
        <w:t xml:space="preserve"> </w:t>
      </w:r>
      <w:r>
        <w:rPr>
          <w:noProof/>
        </w:rPr>
        <w:drawing>
          <wp:inline distT="0" distB="0" distL="0" distR="0" wp14:anchorId="5A1A5B7C" wp14:editId="5EE3417D">
            <wp:extent cx="1649095" cy="2420747"/>
            <wp:effectExtent l="0" t="0" r="8255" b="0"/>
            <wp:docPr id="3073715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23388" b="15655"/>
                    <a:stretch/>
                  </pic:blipFill>
                  <pic:spPr bwMode="auto">
                    <a:xfrm>
                      <a:off x="0" y="0"/>
                      <a:ext cx="1660279" cy="2437164"/>
                    </a:xfrm>
                    <a:prstGeom prst="rect">
                      <a:avLst/>
                    </a:prstGeom>
                    <a:noFill/>
                    <a:ln>
                      <a:noFill/>
                    </a:ln>
                    <a:extLst>
                      <a:ext uri="{53640926-AAD7-44D8-BBD7-CCE9431645EC}">
                        <a14:shadowObscured xmlns:a14="http://schemas.microsoft.com/office/drawing/2010/main"/>
                      </a:ext>
                    </a:extLst>
                  </pic:spPr>
                </pic:pic>
              </a:graphicData>
            </a:graphic>
          </wp:inline>
        </w:drawing>
      </w:r>
      <w:r w:rsidR="0073569B" w:rsidRPr="0073569B">
        <w:t xml:space="preserve"> </w:t>
      </w:r>
      <w:r w:rsidR="00633750">
        <w:rPr>
          <w:noProof/>
        </w:rPr>
        <w:drawing>
          <wp:inline distT="0" distB="0" distL="0" distR="0" wp14:anchorId="77362730" wp14:editId="7DEF42D1">
            <wp:extent cx="1809750" cy="2419540"/>
            <wp:effectExtent l="0" t="0" r="0" b="0"/>
            <wp:docPr id="8073082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11204" cy="2421484"/>
                    </a:xfrm>
                    <a:prstGeom prst="rect">
                      <a:avLst/>
                    </a:prstGeom>
                    <a:noFill/>
                    <a:ln>
                      <a:noFill/>
                    </a:ln>
                  </pic:spPr>
                </pic:pic>
              </a:graphicData>
            </a:graphic>
          </wp:inline>
        </w:drawing>
      </w:r>
    </w:p>
    <w:p w14:paraId="43B58D01" w14:textId="5B6E4099" w:rsidR="003E4304" w:rsidRDefault="5D35FD6B" w:rsidP="003E4304">
      <w:pPr>
        <w:pStyle w:val="figurecaption"/>
      </w:pPr>
      <w:r w:rsidRPr="06E65775">
        <w:rPr>
          <w:b/>
          <w:bCs/>
        </w:rPr>
        <w:t>Fig. 2.</w:t>
      </w:r>
      <w:r>
        <w:t xml:space="preserve"> </w:t>
      </w:r>
      <w:r w:rsidR="5A6A4B83">
        <w:t>E</w:t>
      </w:r>
      <w:r>
        <w:t>xperimental set-up</w:t>
      </w:r>
    </w:p>
    <w:p w14:paraId="4F54F37D" w14:textId="77777777" w:rsidR="003108B3" w:rsidRPr="003108B3" w:rsidRDefault="003108B3" w:rsidP="003108B3">
      <w:pPr>
        <w:pStyle w:val="ListParagraph"/>
        <w:keepNext/>
        <w:keepLines/>
        <w:numPr>
          <w:ilvl w:val="1"/>
          <w:numId w:val="9"/>
        </w:numPr>
        <w:suppressAutoHyphens/>
        <w:spacing w:before="360" w:after="160"/>
        <w:contextualSpacing w:val="0"/>
        <w:jc w:val="left"/>
        <w:outlineLvl w:val="1"/>
        <w:rPr>
          <w:b/>
          <w:vanish/>
        </w:rPr>
      </w:pPr>
    </w:p>
    <w:p w14:paraId="545F8118" w14:textId="510F3444" w:rsidR="00337BBE" w:rsidRDefault="20FF1F80" w:rsidP="003108B3">
      <w:pPr>
        <w:pStyle w:val="heading2"/>
      </w:pPr>
      <w:r>
        <w:t>Test Specimen</w:t>
      </w:r>
    </w:p>
    <w:p w14:paraId="38A95348" w14:textId="51B64089" w:rsidR="00F24AF2" w:rsidRDefault="11B8477D" w:rsidP="00F24AF2">
      <w:pPr>
        <w:pStyle w:val="Heading3"/>
      </w:pPr>
      <w:r w:rsidRPr="06E65775">
        <w:t>The G+2 story steel frame</w:t>
      </w:r>
      <w:r w:rsidR="0057560D">
        <w:t xml:space="preserve"> (2 m x 2 m x 9 m) was erected</w:t>
      </w:r>
      <w:r w:rsidR="0057560D" w:rsidRPr="06E65775">
        <w:t xml:space="preserve">. </w:t>
      </w:r>
      <w:r w:rsidRPr="06E65775">
        <w:t>Two ISMC 75 toe-to-toe connections for the battened columns and two ISMC 75 back-to-back connections for the beams were considered during the design process. The steel grade complied with E250 of IS 2062</w:t>
      </w:r>
      <w:r w:rsidR="0058618C">
        <w:t xml:space="preserve"> [4]</w:t>
      </w:r>
      <w:r w:rsidRPr="06E65775">
        <w:t>. The thickness of the slab at each floor was 100 mm. All connections were welded</w:t>
      </w:r>
      <w:r w:rsidR="0058618C">
        <w:t>, using stick welding,</w:t>
      </w:r>
      <w:r w:rsidRPr="06E65775">
        <w:t xml:space="preserve"> to facilitate erection and in accordance with the resources at hand. </w:t>
      </w:r>
      <w:r w:rsidR="00635794" w:rsidRPr="006F21DE">
        <w:t xml:space="preserve">Mild steel base plate </w:t>
      </w:r>
      <w:r w:rsidR="0058618C">
        <w:t xml:space="preserve">measuring </w:t>
      </w:r>
      <w:r w:rsidR="0058618C" w:rsidRPr="006F21DE">
        <w:t>3.5</w:t>
      </w:r>
      <w:r w:rsidR="0058618C">
        <w:t xml:space="preserve"> </w:t>
      </w:r>
      <w:r w:rsidR="0058618C" w:rsidRPr="006F21DE">
        <w:t xml:space="preserve">m x 3.5 m </w:t>
      </w:r>
      <w:r w:rsidR="00635794" w:rsidRPr="006F21DE">
        <w:t xml:space="preserve">was provided below test specimen </w:t>
      </w:r>
      <w:r w:rsidR="0058618C">
        <w:t xml:space="preserve">and </w:t>
      </w:r>
      <w:r w:rsidR="00635794" w:rsidRPr="006F21DE">
        <w:t>anchored</w:t>
      </w:r>
      <w:r w:rsidR="0058618C" w:rsidRPr="0058618C">
        <w:t xml:space="preserve"> </w:t>
      </w:r>
      <w:r w:rsidR="0058618C">
        <w:t xml:space="preserve">to the </w:t>
      </w:r>
      <w:r w:rsidR="0058618C" w:rsidRPr="0058618C">
        <w:t>shake table platform</w:t>
      </w:r>
      <w:r w:rsidR="00635794" w:rsidRPr="006F21DE">
        <w:t xml:space="preserve"> with the help of the high-tension bolts. </w:t>
      </w:r>
      <w:r w:rsidR="00AA496C" w:rsidRPr="00AA496C">
        <w:t>The frame was designed to be sufficiently flexible to be able to transfer enough vibrations to the utility systems. The fundamental period for the frame was targeted at one second.</w:t>
      </w:r>
    </w:p>
    <w:p w14:paraId="461E5ECB" w14:textId="623E6939" w:rsidR="00F24AF2" w:rsidRDefault="00F24AF2" w:rsidP="0058618C">
      <w:r>
        <w:t xml:space="preserve">Three types of building utility, namely cable tray, sprinkler pipes and multiple pipes (Fig. 3) were installed. </w:t>
      </w:r>
      <w:r w:rsidRPr="00F24AF2">
        <w:t>On the first floor, 1 no. 200 dia. and 1 no. 100 dia. metal pipes</w:t>
      </w:r>
      <w:r>
        <w:t xml:space="preserve"> were installed. O</w:t>
      </w:r>
      <w:r w:rsidRPr="00F24AF2">
        <w:t>n the second floor, 1 no. 150 dia. was installed</w:t>
      </w:r>
      <w:r>
        <w:t>.</w:t>
      </w:r>
      <w:r w:rsidRPr="00F24AF2">
        <w:t xml:space="preserve"> On the third floor, 2 nos. 450 wide cable trays were installed. The pipes were filled with equivalent weight of water and cable trays filled with equivalent weight of cables</w:t>
      </w:r>
      <w:r w:rsidR="00AA496C">
        <w:t>, using sand.</w:t>
      </w:r>
      <w:r w:rsidR="00AA496C" w:rsidRPr="06E65775">
        <w:t xml:space="preserve"> </w:t>
      </w:r>
    </w:p>
    <w:p w14:paraId="108E72AE" w14:textId="4BD3D072" w:rsidR="00F24AF2" w:rsidRDefault="00F24AF2" w:rsidP="0058618C">
      <w:r>
        <w:lastRenderedPageBreak/>
        <w:t>Each building utility was supported using t</w:t>
      </w:r>
      <w:r w:rsidR="0095763F">
        <w:t>wo parallel support system</w:t>
      </w:r>
      <w:r>
        <w:t xml:space="preserve"> types</w:t>
      </w:r>
      <w:r w:rsidR="0095763F">
        <w:t xml:space="preserve">. The first system was the conventional system generally adopted in practice, </w:t>
      </w:r>
      <w:r>
        <w:t>comprising</w:t>
      </w:r>
      <w:r w:rsidRPr="00F24AF2">
        <w:t xml:space="preserve"> of threaded tie rod and channel</w:t>
      </w:r>
      <w:r>
        <w:t>. W</w:t>
      </w:r>
      <w:r w:rsidR="0095763F">
        <w:t xml:space="preserve">hile the second system consisted of bracings </w:t>
      </w:r>
      <w:r w:rsidR="00AA496C" w:rsidRPr="00F24AF2">
        <w:t>(rods, hanging wires and modular channels</w:t>
      </w:r>
      <w:r w:rsidR="00AA496C">
        <w:t xml:space="preserve">) </w:t>
      </w:r>
      <w:r w:rsidR="0095763F">
        <w:t xml:space="preserve">and </w:t>
      </w:r>
      <w:r w:rsidR="00AA496C">
        <w:t xml:space="preserve">seismic </w:t>
      </w:r>
      <w:r w:rsidR="0095763F">
        <w:t xml:space="preserve">connectors </w:t>
      </w:r>
      <w:r w:rsidR="00AA496C">
        <w:t xml:space="preserve">with modular supports </w:t>
      </w:r>
      <w:r w:rsidR="0095763F">
        <w:t xml:space="preserve">designed to withstand seismic acceleration. </w:t>
      </w:r>
    </w:p>
    <w:p w14:paraId="7CF57F02" w14:textId="77777777" w:rsidR="00337BBE" w:rsidRDefault="00337BBE" w:rsidP="00337BBE">
      <w:pPr>
        <w:ind w:firstLine="0"/>
      </w:pPr>
    </w:p>
    <w:p w14:paraId="2B1E1CFC" w14:textId="491EC99B" w:rsidR="003E4304" w:rsidRDefault="003E4304" w:rsidP="00337BBE">
      <w:pPr>
        <w:ind w:firstLine="0"/>
      </w:pPr>
      <w:r w:rsidRPr="003E4304">
        <w:rPr>
          <w:noProof/>
        </w:rPr>
        <w:drawing>
          <wp:inline distT="0" distB="0" distL="0" distR="0" wp14:anchorId="3D291F11" wp14:editId="6B6296DF">
            <wp:extent cx="4392930" cy="920750"/>
            <wp:effectExtent l="0" t="0" r="7620" b="0"/>
            <wp:docPr id="136943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43671" name=""/>
                    <pic:cNvPicPr/>
                  </pic:nvPicPr>
                  <pic:blipFill>
                    <a:blip r:embed="rId12"/>
                    <a:stretch>
                      <a:fillRect/>
                    </a:stretch>
                  </pic:blipFill>
                  <pic:spPr>
                    <a:xfrm>
                      <a:off x="0" y="0"/>
                      <a:ext cx="4392930" cy="920750"/>
                    </a:xfrm>
                    <a:prstGeom prst="rect">
                      <a:avLst/>
                    </a:prstGeom>
                  </pic:spPr>
                </pic:pic>
              </a:graphicData>
            </a:graphic>
          </wp:inline>
        </w:drawing>
      </w:r>
    </w:p>
    <w:p w14:paraId="09BD43DB" w14:textId="5DD8D7A1" w:rsidR="004169D6" w:rsidRDefault="004169D6" w:rsidP="00AA496C">
      <w:pPr>
        <w:pStyle w:val="figurecaption"/>
      </w:pPr>
      <w:r>
        <w:rPr>
          <w:b/>
        </w:rPr>
        <w:t xml:space="preserve">Fig. </w:t>
      </w:r>
      <w:r w:rsidR="003C2628">
        <w:rPr>
          <w:b/>
        </w:rPr>
        <w:t>3</w:t>
      </w:r>
      <w:r>
        <w:rPr>
          <w:b/>
        </w:rPr>
        <w:t>.</w:t>
      </w:r>
      <w:r>
        <w:t xml:space="preserve"> Different utility systems at each floor</w:t>
      </w:r>
    </w:p>
    <w:p w14:paraId="04D0EA23" w14:textId="6A8F47D3" w:rsidR="000832BA" w:rsidRPr="000832BA" w:rsidRDefault="002D3AAB" w:rsidP="00004FB4">
      <w:pPr>
        <w:pStyle w:val="p1a"/>
      </w:pPr>
      <w:r w:rsidRPr="002D3AAB">
        <w:rPr>
          <w:b/>
          <w:bCs/>
        </w:rPr>
        <w:t xml:space="preserve">Design of Support for NSE. </w:t>
      </w:r>
      <w:r w:rsidR="00797EDE">
        <w:t>The support systems for each utility system w</w:t>
      </w:r>
      <w:r w:rsidR="00967DC3">
        <w:t>ere</w:t>
      </w:r>
      <w:r w:rsidR="00797EDE">
        <w:t xml:space="preserve"> designed for adequacy against gravity load for the conventional system and </w:t>
      </w:r>
      <w:r w:rsidR="006119D5">
        <w:t xml:space="preserve">earthquake load for the </w:t>
      </w:r>
      <w:r w:rsidR="00AB74FB">
        <w:t>braced systems</w:t>
      </w:r>
      <w:r w:rsidR="006119D5">
        <w:t>.</w:t>
      </w:r>
      <w:r w:rsidR="00AB74FB">
        <w:t xml:space="preserve"> T</w:t>
      </w:r>
      <w:r w:rsidR="00AB74FB" w:rsidRPr="00AB74FB">
        <w:t>he lateral force for the design of NSEs were calculated as per IS 16700 [2]</w:t>
      </w:r>
      <w:r w:rsidR="00AB74FB">
        <w:t xml:space="preserve"> assuming building to be in seismic zone V (i.e., Z = 0.36). </w:t>
      </w:r>
      <w:r w:rsidR="000832BA">
        <w:t xml:space="preserve">A typical arrangement for cable tray support system is shown in Fig. 4. </w:t>
      </w:r>
      <w:r w:rsidR="00AB74FB">
        <w:t xml:space="preserve">Summary of the design details for cable tray is shown in </w:t>
      </w:r>
      <w:r w:rsidR="000832BA">
        <w:t xml:space="preserve">Fig. 5 and Fig. 6. Similar exercise was carried out </w:t>
      </w:r>
      <w:r w:rsidR="00AB74FB">
        <w:t>for</w:t>
      </w:r>
      <w:r w:rsidR="000832BA">
        <w:t xml:space="preserve"> each utility system.</w:t>
      </w:r>
    </w:p>
    <w:p w14:paraId="192663FD" w14:textId="77777777" w:rsidR="00797EDE" w:rsidRDefault="00797EDE" w:rsidP="00797EDE">
      <w:pPr>
        <w:pStyle w:val="p1a"/>
      </w:pPr>
    </w:p>
    <w:p w14:paraId="15F6BD6E" w14:textId="63B9BA99" w:rsidR="00797EDE" w:rsidRDefault="00797EDE" w:rsidP="00797EDE">
      <w:pPr>
        <w:jc w:val="center"/>
      </w:pPr>
      <w:r w:rsidRPr="00797EDE">
        <w:rPr>
          <w:noProof/>
        </w:rPr>
        <w:drawing>
          <wp:inline distT="0" distB="0" distL="0" distR="0" wp14:anchorId="67387DFC" wp14:editId="376D2FD0">
            <wp:extent cx="4392930" cy="2186940"/>
            <wp:effectExtent l="0" t="0" r="7620" b="3810"/>
            <wp:docPr id="155856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564078" name=""/>
                    <pic:cNvPicPr/>
                  </pic:nvPicPr>
                  <pic:blipFill>
                    <a:blip r:embed="rId13"/>
                    <a:stretch>
                      <a:fillRect/>
                    </a:stretch>
                  </pic:blipFill>
                  <pic:spPr>
                    <a:xfrm>
                      <a:off x="0" y="0"/>
                      <a:ext cx="4392930" cy="2186940"/>
                    </a:xfrm>
                    <a:prstGeom prst="rect">
                      <a:avLst/>
                    </a:prstGeom>
                  </pic:spPr>
                </pic:pic>
              </a:graphicData>
            </a:graphic>
          </wp:inline>
        </w:drawing>
      </w:r>
    </w:p>
    <w:p w14:paraId="0884357C" w14:textId="77777777" w:rsidR="00797EDE" w:rsidRPr="00797EDE" w:rsidRDefault="00797EDE" w:rsidP="00797EDE">
      <w:pPr>
        <w:pStyle w:val="figurecaption"/>
        <w:rPr>
          <w:lang w:val="en-IN"/>
        </w:rPr>
      </w:pPr>
      <w:r>
        <w:rPr>
          <w:b/>
        </w:rPr>
        <w:t>Fig. 4.</w:t>
      </w:r>
      <w:r>
        <w:t xml:space="preserve"> </w:t>
      </w:r>
      <w:r w:rsidRPr="00797EDE">
        <w:rPr>
          <w:lang w:val="en-IN"/>
        </w:rPr>
        <w:t>Typical support system for cable tray</w:t>
      </w:r>
    </w:p>
    <w:p w14:paraId="7F98A928" w14:textId="5169A738" w:rsidR="00797EDE" w:rsidRPr="00004FB4" w:rsidRDefault="00797EDE" w:rsidP="00004FB4">
      <w:pPr>
        <w:pStyle w:val="figurecaption"/>
        <w:jc w:val="left"/>
      </w:pPr>
    </w:p>
    <w:p w14:paraId="36CD9BCF" w14:textId="1F19A882" w:rsidR="00797EDE" w:rsidRDefault="00797EDE" w:rsidP="00797EDE">
      <w:pPr>
        <w:pStyle w:val="p1a"/>
      </w:pPr>
      <w:r w:rsidRPr="00797EDE">
        <w:rPr>
          <w:noProof/>
        </w:rPr>
        <w:lastRenderedPageBreak/>
        <w:drawing>
          <wp:inline distT="0" distB="0" distL="0" distR="0" wp14:anchorId="366233EE" wp14:editId="14858417">
            <wp:extent cx="4360882" cy="2299580"/>
            <wp:effectExtent l="19050" t="19050" r="20955" b="24765"/>
            <wp:docPr id="433461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461983" name=""/>
                    <pic:cNvPicPr/>
                  </pic:nvPicPr>
                  <pic:blipFill>
                    <a:blip r:embed="rId14"/>
                    <a:stretch>
                      <a:fillRect/>
                    </a:stretch>
                  </pic:blipFill>
                  <pic:spPr>
                    <a:xfrm>
                      <a:off x="0" y="0"/>
                      <a:ext cx="4412515" cy="2326807"/>
                    </a:xfrm>
                    <a:prstGeom prst="rect">
                      <a:avLst/>
                    </a:prstGeom>
                    <a:ln>
                      <a:solidFill>
                        <a:schemeClr val="tx1"/>
                      </a:solidFill>
                    </a:ln>
                  </pic:spPr>
                </pic:pic>
              </a:graphicData>
            </a:graphic>
          </wp:inline>
        </w:drawing>
      </w:r>
    </w:p>
    <w:p w14:paraId="29E246C3" w14:textId="26FCC682" w:rsidR="000832BA" w:rsidRPr="00797EDE" w:rsidRDefault="000832BA" w:rsidP="000832BA">
      <w:pPr>
        <w:pStyle w:val="figurecaption"/>
        <w:rPr>
          <w:lang w:val="en-IN"/>
        </w:rPr>
      </w:pPr>
      <w:r>
        <w:rPr>
          <w:b/>
        </w:rPr>
        <w:t>Fig. 5.</w:t>
      </w:r>
      <w:r>
        <w:t xml:space="preserve"> </w:t>
      </w:r>
      <w:r>
        <w:rPr>
          <w:lang w:val="en-IN"/>
        </w:rPr>
        <w:t>Design of cable tray support against gravity load</w:t>
      </w:r>
    </w:p>
    <w:p w14:paraId="4AE53862" w14:textId="67995B9D" w:rsidR="000832BA" w:rsidRDefault="00A161B9" w:rsidP="00AB74FB">
      <w:pPr>
        <w:rPr>
          <w:lang w:val="en-IN"/>
        </w:rPr>
      </w:pPr>
      <w:r w:rsidRPr="00A161B9">
        <w:rPr>
          <w:noProof/>
          <w:lang w:val="en-IN"/>
        </w:rPr>
        <w:drawing>
          <wp:inline distT="0" distB="0" distL="0" distR="0" wp14:anchorId="015C9139" wp14:editId="434649FF">
            <wp:extent cx="4048717" cy="2082297"/>
            <wp:effectExtent l="19050" t="19050" r="28575" b="13335"/>
            <wp:docPr id="18638585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858598" name=""/>
                    <pic:cNvPicPr/>
                  </pic:nvPicPr>
                  <pic:blipFill>
                    <a:blip r:embed="rId15"/>
                    <a:stretch>
                      <a:fillRect/>
                    </a:stretch>
                  </pic:blipFill>
                  <pic:spPr>
                    <a:xfrm>
                      <a:off x="0" y="0"/>
                      <a:ext cx="4048717" cy="2082297"/>
                    </a:xfrm>
                    <a:prstGeom prst="rect">
                      <a:avLst/>
                    </a:prstGeom>
                    <a:ln>
                      <a:solidFill>
                        <a:schemeClr val="tx1"/>
                      </a:solidFill>
                    </a:ln>
                  </pic:spPr>
                </pic:pic>
              </a:graphicData>
            </a:graphic>
          </wp:inline>
        </w:drawing>
      </w:r>
    </w:p>
    <w:p w14:paraId="4B1368A3" w14:textId="05B9DB36" w:rsidR="00A161B9" w:rsidRPr="00797EDE" w:rsidRDefault="00A161B9" w:rsidP="00A161B9">
      <w:pPr>
        <w:pStyle w:val="figurecaption"/>
        <w:rPr>
          <w:lang w:val="en-IN"/>
        </w:rPr>
      </w:pPr>
      <w:r>
        <w:rPr>
          <w:b/>
        </w:rPr>
        <w:t>Fig. 6.</w:t>
      </w:r>
      <w:r>
        <w:t xml:space="preserve"> </w:t>
      </w:r>
      <w:r>
        <w:rPr>
          <w:lang w:val="en-IN"/>
        </w:rPr>
        <w:t xml:space="preserve">Design of cable tray support against </w:t>
      </w:r>
      <w:r w:rsidR="00A74E02">
        <w:rPr>
          <w:lang w:val="en-IN"/>
        </w:rPr>
        <w:t>seismic</w:t>
      </w:r>
      <w:r>
        <w:rPr>
          <w:lang w:val="en-IN"/>
        </w:rPr>
        <w:t xml:space="preserve"> load</w:t>
      </w:r>
    </w:p>
    <w:p w14:paraId="3FFDB880" w14:textId="4C56000F" w:rsidR="003C2628" w:rsidRDefault="006F21DE" w:rsidP="00936C25">
      <w:pPr>
        <w:pStyle w:val="heading2"/>
        <w:rPr>
          <w:rStyle w:val="heading30"/>
        </w:rPr>
      </w:pPr>
      <w:r w:rsidRPr="00004FB4">
        <w:lastRenderedPageBreak/>
        <w:t>Loading Protocol</w:t>
      </w:r>
      <w:r w:rsidR="00936C25" w:rsidRPr="003E3370">
        <w:rPr>
          <w:rStyle w:val="heading30"/>
        </w:rPr>
        <w:t xml:space="preserve"> </w:t>
      </w:r>
    </w:p>
    <w:p w14:paraId="05B9B9BA" w14:textId="77777777" w:rsidR="002D3AAB" w:rsidRDefault="002D3AAB" w:rsidP="002D3AAB">
      <w:pPr>
        <w:pStyle w:val="heading2"/>
        <w:numPr>
          <w:ilvl w:val="0"/>
          <w:numId w:val="0"/>
        </w:numPr>
        <w:spacing w:after="0"/>
        <w:jc w:val="both"/>
        <w:outlineLvl w:val="9"/>
        <w:rPr>
          <w:b w:val="0"/>
          <w:bCs/>
        </w:rPr>
      </w:pPr>
      <w:r w:rsidRPr="002D3AAB">
        <w:rPr>
          <w:b w:val="0"/>
          <w:bCs/>
        </w:rPr>
        <w:t xml:space="preserve">The entire assembly was subjected to base excitation on a 15-ton payload capacity shake table and the response of both support systems were observed. Only horizontal excitation was used in the present study to maintain line of sight alignment of non-contact optical/infra-red measurement system for monitoring horizontal response. </w:t>
      </w:r>
    </w:p>
    <w:p w14:paraId="240ECC75" w14:textId="74D653DF" w:rsidR="00936C25" w:rsidRPr="002D3AAB" w:rsidRDefault="006F21DE" w:rsidP="002D3AAB">
      <w:pPr>
        <w:pStyle w:val="heading2"/>
        <w:numPr>
          <w:ilvl w:val="0"/>
          <w:numId w:val="0"/>
        </w:numPr>
        <w:spacing w:before="0" w:after="120"/>
        <w:ind w:firstLine="227"/>
        <w:jc w:val="both"/>
        <w:outlineLvl w:val="9"/>
        <w:rPr>
          <w:b w:val="0"/>
          <w:bCs/>
        </w:rPr>
      </w:pPr>
      <w:r w:rsidRPr="002D3AAB">
        <w:rPr>
          <w:b w:val="0"/>
          <w:bCs/>
        </w:rPr>
        <w:t xml:space="preserve">The test was carried out in four steps consisting of excitation in a sinusoidal pattern of starting from an amplitude of 25 mm in the first step and going up to 100 mm in the final one, with a regular increment of 25 mm. Each step lasted for a duration of nearly 30 seconds and frequency of sinusoidal wave was kept </w:t>
      </w:r>
      <w:r w:rsidR="009B5725">
        <w:rPr>
          <w:b w:val="0"/>
          <w:bCs/>
        </w:rPr>
        <w:t xml:space="preserve">of </w:t>
      </w:r>
      <w:r w:rsidRPr="002D3AAB">
        <w:rPr>
          <w:b w:val="0"/>
          <w:bCs/>
        </w:rPr>
        <w:t>constant value</w:t>
      </w:r>
      <w:r w:rsidR="009B5725">
        <w:rPr>
          <w:b w:val="0"/>
          <w:bCs/>
        </w:rPr>
        <w:t xml:space="preserve"> of</w:t>
      </w:r>
      <w:r w:rsidRPr="002D3AAB">
        <w:rPr>
          <w:b w:val="0"/>
          <w:bCs/>
        </w:rPr>
        <w:t xml:space="preserve"> 0.6 Hz considering that the natural frequency of the frame was about 0.9 Hz with a tuning ratio of 0.67 and a dynamic amplification of approximately 2.0. </w:t>
      </w:r>
      <w:r w:rsidR="009B5725">
        <w:rPr>
          <w:b w:val="0"/>
          <w:bCs/>
        </w:rPr>
        <w:t>A</w:t>
      </w:r>
      <w:r w:rsidRPr="002D3AAB">
        <w:rPr>
          <w:b w:val="0"/>
          <w:bCs/>
        </w:rPr>
        <w:t xml:space="preserve"> graphical representation of the loading protocol adopted for the test</w:t>
      </w:r>
      <w:r w:rsidR="009B5725">
        <w:rPr>
          <w:b w:val="0"/>
          <w:bCs/>
        </w:rPr>
        <w:t xml:space="preserve"> is shown in Fig. 7</w:t>
      </w:r>
      <w:r w:rsidRPr="002D3AAB">
        <w:rPr>
          <w:b w:val="0"/>
          <w:bCs/>
        </w:rPr>
        <w:t>. The peak base acceleration corresponds to 0.036 g, 0.072 g, 0.109 g, and 0.145 g for these four test cases.</w:t>
      </w:r>
    </w:p>
    <w:p w14:paraId="0CB628B6" w14:textId="77777777" w:rsidR="00936C25" w:rsidRDefault="00936C25" w:rsidP="008C7910"/>
    <w:p w14:paraId="620B783C" w14:textId="3F0B4853" w:rsidR="002F0A88" w:rsidRDefault="002F0A88" w:rsidP="002F0A88">
      <w:pPr>
        <w:jc w:val="center"/>
      </w:pPr>
      <w:r>
        <w:rPr>
          <w:noProof/>
        </w:rPr>
        <w:drawing>
          <wp:inline distT="0" distB="0" distL="0" distR="0" wp14:anchorId="2EE266C1" wp14:editId="7AE98C5C">
            <wp:extent cx="3103309" cy="1631950"/>
            <wp:effectExtent l="0" t="0" r="1905" b="6350"/>
            <wp:docPr id="12191944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194448" name=""/>
                    <pic:cNvPicPr/>
                  </pic:nvPicPr>
                  <pic:blipFill>
                    <a:blip r:embed="rId16"/>
                    <a:stretch>
                      <a:fillRect/>
                    </a:stretch>
                  </pic:blipFill>
                  <pic:spPr>
                    <a:xfrm>
                      <a:off x="0" y="0"/>
                      <a:ext cx="3122280" cy="1641927"/>
                    </a:xfrm>
                    <a:prstGeom prst="rect">
                      <a:avLst/>
                    </a:prstGeom>
                  </pic:spPr>
                </pic:pic>
              </a:graphicData>
            </a:graphic>
          </wp:inline>
        </w:drawing>
      </w:r>
    </w:p>
    <w:p w14:paraId="2C078156" w14:textId="142B343E" w:rsidR="002F0A88" w:rsidRDefault="002F0A88" w:rsidP="002F0A88">
      <w:pPr>
        <w:pStyle w:val="figurecaption"/>
      </w:pPr>
      <w:r>
        <w:rPr>
          <w:b/>
        </w:rPr>
        <w:t xml:space="preserve">Fig. </w:t>
      </w:r>
      <w:r w:rsidR="00AA0E7C">
        <w:rPr>
          <w:b/>
        </w:rPr>
        <w:t>7</w:t>
      </w:r>
      <w:r>
        <w:rPr>
          <w:b/>
        </w:rPr>
        <w:t>.</w:t>
      </w:r>
      <w:r>
        <w:t xml:space="preserve"> </w:t>
      </w:r>
      <w:r w:rsidRPr="002F0A88">
        <w:t>Graphical representation of loading protocol</w:t>
      </w:r>
      <w:r>
        <w:t>.</w:t>
      </w:r>
    </w:p>
    <w:p w14:paraId="1199D7E7" w14:textId="587FDF3A" w:rsidR="00936C25" w:rsidRPr="006809AE" w:rsidRDefault="00635794" w:rsidP="00936C25">
      <w:pPr>
        <w:pStyle w:val="heading2"/>
        <w:spacing w:before="0"/>
      </w:pPr>
      <w:r>
        <w:t>Instrumentation</w:t>
      </w:r>
    </w:p>
    <w:p w14:paraId="4FDCF01B" w14:textId="18CFE3A1" w:rsidR="00936C25" w:rsidRDefault="006F21DE" w:rsidP="002D3AAB">
      <w:pPr>
        <w:ind w:firstLine="0"/>
      </w:pPr>
      <w:r w:rsidRPr="006F21DE">
        <w:t xml:space="preserve">The instrumentation included non-contact infra-red (IR) sensors to measure the displacement of utilities attached to the soffit of each slab. </w:t>
      </w:r>
      <w:r w:rsidR="0001150F">
        <w:t>Uniaxial a</w:t>
      </w:r>
      <w:r w:rsidRPr="006F21DE">
        <w:t xml:space="preserve">ccelerometers were installed to measure floor acceleration of all floors, and strain gauges were used to measure strain at critical locations during the excitation. Infra-red sensors of the 3.5 m range were placed on a wooden panel supported by scaffolding such that each wooden panel was located at the level of the utility at the respective floor and adjusted to record the displacement of the corresponding utility. The reflector surface was prepared with white colored surface of 450 mm x 450 mm dimension. </w:t>
      </w:r>
      <w:r w:rsidR="009B5725">
        <w:t>T</w:t>
      </w:r>
      <w:r w:rsidRPr="006F21DE">
        <w:t>he IR sensors and the data</w:t>
      </w:r>
      <w:r>
        <w:t xml:space="preserve"> </w:t>
      </w:r>
      <w:r w:rsidRPr="006F21DE">
        <w:t>acquisition system used for those sensors</w:t>
      </w:r>
      <w:r w:rsidR="009B5725">
        <w:t xml:space="preserve"> are shown in Fig. </w:t>
      </w:r>
      <w:r w:rsidR="009B5725" w:rsidRPr="006F21DE">
        <w:t xml:space="preserve"> </w:t>
      </w:r>
      <w:r w:rsidR="009B5725">
        <w:t>8</w:t>
      </w:r>
      <w:r w:rsidR="009B5725" w:rsidRPr="006F21DE">
        <w:t>(a)</w:t>
      </w:r>
      <w:r w:rsidR="009B5725">
        <w:t xml:space="preserve"> and </w:t>
      </w:r>
      <w:r w:rsidR="009B5725" w:rsidRPr="006F21DE">
        <w:t xml:space="preserve">Fig.  </w:t>
      </w:r>
      <w:r w:rsidR="009B5725">
        <w:t>8</w:t>
      </w:r>
      <w:r w:rsidR="009B5725" w:rsidRPr="006F21DE">
        <w:t>(b)</w:t>
      </w:r>
      <w:r w:rsidR="009B5725">
        <w:t>, respectively</w:t>
      </w:r>
      <w:r w:rsidRPr="006F21DE">
        <w:t xml:space="preserve">. Six IR sensors and three accelerometers were provided, as shown in Fig. </w:t>
      </w:r>
      <w:r w:rsidR="00AA0E7C">
        <w:t>9</w:t>
      </w:r>
      <w:r w:rsidRPr="006F21DE">
        <w:t>. Out of three accelerometers, two triaxial accelerometers were placed on the 2nd and 3rd-floor slab and a uniaxial accelerometer was deployed on the first-floor slab</w:t>
      </w:r>
      <w:r w:rsidR="00ED1762">
        <w:t xml:space="preserve"> (Fig.</w:t>
      </w:r>
      <w:r w:rsidR="00037F0B">
        <w:t xml:space="preserve"> </w:t>
      </w:r>
      <w:r w:rsidR="00AA0E7C">
        <w:t>10</w:t>
      </w:r>
      <w:r w:rsidR="00ED1762">
        <w:t>)</w:t>
      </w:r>
      <w:r w:rsidRPr="006F21DE">
        <w:t xml:space="preserve">. Strain gauges </w:t>
      </w:r>
      <w:r w:rsidR="009B5725">
        <w:t xml:space="preserve">as shown in </w:t>
      </w:r>
      <w:r w:rsidR="00ED1762">
        <w:t xml:space="preserve">Fig. </w:t>
      </w:r>
      <w:r w:rsidR="00AA0E7C">
        <w:t>11</w:t>
      </w:r>
      <w:r w:rsidR="00ED1762">
        <w:t xml:space="preserve"> </w:t>
      </w:r>
      <w:r w:rsidRPr="006F21DE">
        <w:t xml:space="preserve">were provided at critical locations: 100 mm from the </w:t>
      </w:r>
      <w:r w:rsidRPr="006F21DE">
        <w:lastRenderedPageBreak/>
        <w:t xml:space="preserve">gusset plate provided at the base of columns on the tension and compression flanges of </w:t>
      </w:r>
      <w:r w:rsidR="00ED1762">
        <w:t xml:space="preserve">the </w:t>
      </w:r>
      <w:r w:rsidRPr="006F21DE">
        <w:t>columns and 100 mm from beam-column connections on tension and compression flanges in the 1st and 2nd-floor beams along the direction of excitation.</w:t>
      </w:r>
    </w:p>
    <w:p w14:paraId="582E4E2B" w14:textId="5F70F20A" w:rsidR="006F21DE" w:rsidRPr="006F21DE" w:rsidRDefault="00ED1762" w:rsidP="006F21DE">
      <w:r>
        <w:t xml:space="preserve"> </w:t>
      </w:r>
    </w:p>
    <w:tbl>
      <w:tblPr>
        <w:tblStyle w:val="TableGrid"/>
        <w:tblW w:w="0" w:type="auto"/>
        <w:tblLook w:val="04A0" w:firstRow="1" w:lastRow="0" w:firstColumn="1" w:lastColumn="0" w:noHBand="0" w:noVBand="1"/>
      </w:tblPr>
      <w:tblGrid>
        <w:gridCol w:w="3454"/>
        <w:gridCol w:w="3454"/>
      </w:tblGrid>
      <w:tr w:rsidR="006F21DE" w14:paraId="1A0C41FC" w14:textId="77777777" w:rsidTr="006F21DE">
        <w:tc>
          <w:tcPr>
            <w:tcW w:w="3454" w:type="dxa"/>
          </w:tcPr>
          <w:p w14:paraId="59068767" w14:textId="6BDE0DCF" w:rsidR="006F21DE" w:rsidRPr="002F0A88" w:rsidRDefault="006F21DE" w:rsidP="002F0A88">
            <w:pPr>
              <w:ind w:firstLine="0"/>
              <w:jc w:val="center"/>
              <w:rPr>
                <w:sz w:val="18"/>
                <w:szCs w:val="18"/>
              </w:rPr>
            </w:pPr>
            <w:r w:rsidRPr="002F0A88">
              <w:rPr>
                <w:noProof/>
                <w:sz w:val="18"/>
                <w:szCs w:val="18"/>
              </w:rPr>
              <w:drawing>
                <wp:inline distT="0" distB="0" distL="0" distR="0" wp14:anchorId="40C4AF57" wp14:editId="28BCD358">
                  <wp:extent cx="1916895" cy="1176793"/>
                  <wp:effectExtent l="0" t="0" r="7620" b="4445"/>
                  <wp:docPr id="302963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963452" name=""/>
                          <pic:cNvPicPr/>
                        </pic:nvPicPr>
                        <pic:blipFill>
                          <a:blip r:embed="rId17"/>
                          <a:stretch>
                            <a:fillRect/>
                          </a:stretch>
                        </pic:blipFill>
                        <pic:spPr>
                          <a:xfrm>
                            <a:off x="0" y="0"/>
                            <a:ext cx="1926553" cy="1182722"/>
                          </a:xfrm>
                          <a:prstGeom prst="rect">
                            <a:avLst/>
                          </a:prstGeom>
                        </pic:spPr>
                      </pic:pic>
                    </a:graphicData>
                  </a:graphic>
                </wp:inline>
              </w:drawing>
            </w:r>
          </w:p>
        </w:tc>
        <w:tc>
          <w:tcPr>
            <w:tcW w:w="3454" w:type="dxa"/>
          </w:tcPr>
          <w:p w14:paraId="6A8561F7" w14:textId="2A1EB7A7" w:rsidR="006F21DE" w:rsidRPr="002F0A88" w:rsidRDefault="006F21DE" w:rsidP="002F0A88">
            <w:pPr>
              <w:ind w:firstLine="0"/>
              <w:jc w:val="center"/>
              <w:rPr>
                <w:sz w:val="18"/>
                <w:szCs w:val="18"/>
              </w:rPr>
            </w:pPr>
            <w:r w:rsidRPr="002F0A88">
              <w:rPr>
                <w:noProof/>
                <w:sz w:val="18"/>
                <w:szCs w:val="18"/>
              </w:rPr>
              <w:drawing>
                <wp:inline distT="0" distB="0" distL="0" distR="0" wp14:anchorId="77785476" wp14:editId="2054FF63">
                  <wp:extent cx="1522675" cy="1171592"/>
                  <wp:effectExtent l="0" t="0" r="1905" b="0"/>
                  <wp:docPr id="95451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51854" name=""/>
                          <pic:cNvPicPr/>
                        </pic:nvPicPr>
                        <pic:blipFill>
                          <a:blip r:embed="rId18"/>
                          <a:stretch>
                            <a:fillRect/>
                          </a:stretch>
                        </pic:blipFill>
                        <pic:spPr>
                          <a:xfrm>
                            <a:off x="0" y="0"/>
                            <a:ext cx="1543742" cy="1187802"/>
                          </a:xfrm>
                          <a:prstGeom prst="rect">
                            <a:avLst/>
                          </a:prstGeom>
                        </pic:spPr>
                      </pic:pic>
                    </a:graphicData>
                  </a:graphic>
                </wp:inline>
              </w:drawing>
            </w:r>
          </w:p>
        </w:tc>
      </w:tr>
      <w:tr w:rsidR="006F21DE" w14:paraId="524E9B1B" w14:textId="77777777" w:rsidTr="006F21DE">
        <w:tc>
          <w:tcPr>
            <w:tcW w:w="3454" w:type="dxa"/>
          </w:tcPr>
          <w:p w14:paraId="634C20AF" w14:textId="2B3B8634" w:rsidR="006F21DE" w:rsidRPr="002F0A88" w:rsidRDefault="006F21DE" w:rsidP="002F0A88">
            <w:pPr>
              <w:ind w:firstLine="0"/>
              <w:jc w:val="center"/>
              <w:rPr>
                <w:sz w:val="18"/>
                <w:szCs w:val="18"/>
              </w:rPr>
            </w:pPr>
            <w:r w:rsidRPr="002F0A88">
              <w:rPr>
                <w:sz w:val="18"/>
                <w:szCs w:val="18"/>
              </w:rPr>
              <w:t>(a)</w:t>
            </w:r>
          </w:p>
        </w:tc>
        <w:tc>
          <w:tcPr>
            <w:tcW w:w="3454" w:type="dxa"/>
          </w:tcPr>
          <w:p w14:paraId="7A8EC5FE" w14:textId="034F2A61" w:rsidR="006F21DE" w:rsidRPr="002F0A88" w:rsidRDefault="006F21DE" w:rsidP="002F0A88">
            <w:pPr>
              <w:ind w:firstLine="0"/>
              <w:jc w:val="center"/>
              <w:rPr>
                <w:sz w:val="18"/>
                <w:szCs w:val="18"/>
              </w:rPr>
            </w:pPr>
            <w:r w:rsidRPr="002F0A88">
              <w:rPr>
                <w:sz w:val="18"/>
                <w:szCs w:val="18"/>
              </w:rPr>
              <w:t>(b)</w:t>
            </w:r>
          </w:p>
        </w:tc>
      </w:tr>
    </w:tbl>
    <w:p w14:paraId="352BA92A" w14:textId="721E0A53" w:rsidR="006F21DE" w:rsidRDefault="006F21DE" w:rsidP="006F21DE">
      <w:pPr>
        <w:pStyle w:val="figurecaption"/>
        <w:jc w:val="both"/>
      </w:pPr>
      <w:r>
        <w:rPr>
          <w:b/>
        </w:rPr>
        <w:t>Fig.</w:t>
      </w:r>
      <w:r w:rsidR="009B5725">
        <w:rPr>
          <w:b/>
        </w:rPr>
        <w:t xml:space="preserve"> </w:t>
      </w:r>
      <w:r w:rsidR="00AA0E7C">
        <w:rPr>
          <w:b/>
        </w:rPr>
        <w:t>8</w:t>
      </w:r>
      <w:r>
        <w:rPr>
          <w:b/>
        </w:rPr>
        <w:t>.</w:t>
      </w:r>
      <w:r>
        <w:t xml:space="preserve"> </w:t>
      </w:r>
      <w:r w:rsidRPr="006F21DE">
        <w:t>(a) IR sensor set to incident beam on the reflector (b) data acquisition system</w:t>
      </w:r>
      <w:r>
        <w:t xml:space="preserve">. </w:t>
      </w:r>
    </w:p>
    <w:p w14:paraId="138A2149" w14:textId="39489906" w:rsidR="006F21DE" w:rsidRDefault="006F21DE" w:rsidP="006F21DE">
      <w:pPr>
        <w:jc w:val="center"/>
      </w:pPr>
      <w:r>
        <w:rPr>
          <w:noProof/>
        </w:rPr>
        <w:t xml:space="preserve"> </w:t>
      </w:r>
      <w:r w:rsidR="00F8078C">
        <w:rPr>
          <w:noProof/>
        </w:rPr>
        <w:drawing>
          <wp:inline distT="0" distB="0" distL="0" distR="0" wp14:anchorId="5323F2A6" wp14:editId="0BCBAC47">
            <wp:extent cx="1074672" cy="2078637"/>
            <wp:effectExtent l="0" t="0" r="0" b="0"/>
            <wp:docPr id="77" name="image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64.png"/>
                    <pic:cNvPicPr>
                      <a:picLocks noChangeAspect="1" noChangeArrowheads="1"/>
                    </pic:cNvPicPr>
                  </pic:nvPicPr>
                  <pic:blipFill>
                    <a:blip r:embed="rId19"/>
                    <a:stretch>
                      <a:fillRect/>
                    </a:stretch>
                  </pic:blipFill>
                  <pic:spPr bwMode="auto">
                    <a:xfrm>
                      <a:off x="0" y="0"/>
                      <a:ext cx="1077292" cy="2083704"/>
                    </a:xfrm>
                    <a:prstGeom prst="rect">
                      <a:avLst/>
                    </a:prstGeom>
                  </pic:spPr>
                </pic:pic>
              </a:graphicData>
            </a:graphic>
          </wp:inline>
        </w:drawing>
      </w:r>
    </w:p>
    <w:p w14:paraId="63BEF34D" w14:textId="057F180E" w:rsidR="006F21DE" w:rsidRDefault="006F21DE" w:rsidP="006F21DE">
      <w:pPr>
        <w:pStyle w:val="figurecaption"/>
      </w:pPr>
      <w:r>
        <w:rPr>
          <w:b/>
        </w:rPr>
        <w:t>Fig.</w:t>
      </w:r>
      <w:r w:rsidR="009B5725">
        <w:rPr>
          <w:b/>
        </w:rPr>
        <w:t xml:space="preserve"> </w:t>
      </w:r>
      <w:r w:rsidR="00AA0E7C">
        <w:rPr>
          <w:b/>
        </w:rPr>
        <w:t>9</w:t>
      </w:r>
      <w:r>
        <w:rPr>
          <w:b/>
        </w:rPr>
        <w:t>.</w:t>
      </w:r>
      <w:r>
        <w:t xml:space="preserve"> </w:t>
      </w:r>
      <w:r w:rsidRPr="006F21DE">
        <w:t>IR sensor and Accelerometer location details</w:t>
      </w:r>
      <w:r>
        <w:t>.</w:t>
      </w:r>
    </w:p>
    <w:tbl>
      <w:tblPr>
        <w:tblStyle w:val="TableGrid"/>
        <w:tblW w:w="0" w:type="auto"/>
        <w:tblLook w:val="04A0" w:firstRow="1" w:lastRow="0" w:firstColumn="1" w:lastColumn="0" w:noHBand="0" w:noVBand="1"/>
      </w:tblPr>
      <w:tblGrid>
        <w:gridCol w:w="3454"/>
        <w:gridCol w:w="3454"/>
      </w:tblGrid>
      <w:tr w:rsidR="002F0A88" w14:paraId="0E63A2E9" w14:textId="77777777" w:rsidTr="002F0A88">
        <w:tc>
          <w:tcPr>
            <w:tcW w:w="3454" w:type="dxa"/>
          </w:tcPr>
          <w:p w14:paraId="0C79B5B4" w14:textId="71AE6B19" w:rsidR="002F0A88" w:rsidRDefault="002F0A88" w:rsidP="002F0A88">
            <w:pPr>
              <w:ind w:firstLine="0"/>
              <w:jc w:val="center"/>
            </w:pPr>
            <w:r>
              <w:rPr>
                <w:noProof/>
              </w:rPr>
              <w:drawing>
                <wp:inline distT="0" distB="0" distL="0" distR="0" wp14:anchorId="4B4F92D2" wp14:editId="5553FFFA">
                  <wp:extent cx="1220526" cy="1105382"/>
                  <wp:effectExtent l="0" t="0" r="0" b="0"/>
                  <wp:docPr id="1773745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745835" name=""/>
                          <pic:cNvPicPr/>
                        </pic:nvPicPr>
                        <pic:blipFill>
                          <a:blip r:embed="rId20"/>
                          <a:stretch>
                            <a:fillRect/>
                          </a:stretch>
                        </pic:blipFill>
                        <pic:spPr>
                          <a:xfrm>
                            <a:off x="0" y="0"/>
                            <a:ext cx="1226499" cy="1110791"/>
                          </a:xfrm>
                          <a:prstGeom prst="rect">
                            <a:avLst/>
                          </a:prstGeom>
                        </pic:spPr>
                      </pic:pic>
                    </a:graphicData>
                  </a:graphic>
                </wp:inline>
              </w:drawing>
            </w:r>
          </w:p>
        </w:tc>
        <w:tc>
          <w:tcPr>
            <w:tcW w:w="3454" w:type="dxa"/>
          </w:tcPr>
          <w:p w14:paraId="343C750F" w14:textId="570F6501" w:rsidR="002F0A88" w:rsidRDefault="002F0A88" w:rsidP="002F0A88">
            <w:pPr>
              <w:ind w:firstLine="0"/>
              <w:jc w:val="center"/>
            </w:pPr>
            <w:r>
              <w:rPr>
                <w:noProof/>
              </w:rPr>
              <w:drawing>
                <wp:inline distT="0" distB="0" distL="0" distR="0" wp14:anchorId="04A2B148" wp14:editId="1CC846A2">
                  <wp:extent cx="1335819" cy="1095496"/>
                  <wp:effectExtent l="0" t="0" r="0" b="0"/>
                  <wp:docPr id="16704077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407719" name=""/>
                          <pic:cNvPicPr/>
                        </pic:nvPicPr>
                        <pic:blipFill>
                          <a:blip r:embed="rId21"/>
                          <a:stretch>
                            <a:fillRect/>
                          </a:stretch>
                        </pic:blipFill>
                        <pic:spPr>
                          <a:xfrm>
                            <a:off x="0" y="0"/>
                            <a:ext cx="1349289" cy="1106543"/>
                          </a:xfrm>
                          <a:prstGeom prst="rect">
                            <a:avLst/>
                          </a:prstGeom>
                        </pic:spPr>
                      </pic:pic>
                    </a:graphicData>
                  </a:graphic>
                </wp:inline>
              </w:drawing>
            </w:r>
          </w:p>
        </w:tc>
      </w:tr>
      <w:tr w:rsidR="002F0A88" w14:paraId="0CEF165E" w14:textId="77777777" w:rsidTr="002F0A88">
        <w:tc>
          <w:tcPr>
            <w:tcW w:w="3454" w:type="dxa"/>
          </w:tcPr>
          <w:p w14:paraId="1F6D6BAF" w14:textId="28C4179F" w:rsidR="002F0A88" w:rsidRPr="002F0A88" w:rsidRDefault="002F0A88" w:rsidP="002F0A88">
            <w:pPr>
              <w:ind w:firstLine="0"/>
              <w:jc w:val="center"/>
              <w:rPr>
                <w:sz w:val="18"/>
                <w:szCs w:val="18"/>
              </w:rPr>
            </w:pPr>
            <w:r w:rsidRPr="002F0A88">
              <w:rPr>
                <w:sz w:val="18"/>
                <w:szCs w:val="18"/>
              </w:rPr>
              <w:t>(a)</w:t>
            </w:r>
          </w:p>
        </w:tc>
        <w:tc>
          <w:tcPr>
            <w:tcW w:w="3454" w:type="dxa"/>
          </w:tcPr>
          <w:p w14:paraId="43C8E467" w14:textId="48D9289A" w:rsidR="002F0A88" w:rsidRPr="002F0A88" w:rsidRDefault="002F0A88" w:rsidP="002F0A88">
            <w:pPr>
              <w:ind w:firstLine="0"/>
              <w:jc w:val="center"/>
              <w:rPr>
                <w:sz w:val="18"/>
                <w:szCs w:val="18"/>
              </w:rPr>
            </w:pPr>
            <w:r w:rsidRPr="002F0A88">
              <w:rPr>
                <w:sz w:val="18"/>
                <w:szCs w:val="18"/>
              </w:rPr>
              <w:t>(b)</w:t>
            </w:r>
          </w:p>
        </w:tc>
      </w:tr>
    </w:tbl>
    <w:p w14:paraId="5A68C46E" w14:textId="77CA74F9" w:rsidR="002F0A88" w:rsidRDefault="002F0A88" w:rsidP="002F0A88">
      <w:pPr>
        <w:pStyle w:val="figurecaption"/>
        <w:jc w:val="both"/>
      </w:pPr>
      <w:r>
        <w:rPr>
          <w:b/>
        </w:rPr>
        <w:t xml:space="preserve">Fig. </w:t>
      </w:r>
      <w:r w:rsidR="00AA0E7C">
        <w:rPr>
          <w:b/>
        </w:rPr>
        <w:t>10</w:t>
      </w:r>
      <w:r>
        <w:t xml:space="preserve"> </w:t>
      </w:r>
      <w:r w:rsidR="00ED1762">
        <w:t xml:space="preserve">(a) </w:t>
      </w:r>
      <w:r w:rsidRPr="002F0A88">
        <w:t>Triaxial accelerometer placed on slab</w:t>
      </w:r>
      <w:r w:rsidR="00ED1762">
        <w:t xml:space="preserve"> </w:t>
      </w:r>
      <w:r w:rsidRPr="002F0A88">
        <w:t>(b) Image of the data acquisition system</w:t>
      </w:r>
      <w:r>
        <w:t xml:space="preserve">. </w:t>
      </w:r>
    </w:p>
    <w:tbl>
      <w:tblPr>
        <w:tblStyle w:val="TableGrid"/>
        <w:tblW w:w="0" w:type="auto"/>
        <w:tblLook w:val="04A0" w:firstRow="1" w:lastRow="0" w:firstColumn="1" w:lastColumn="0" w:noHBand="0" w:noVBand="1"/>
      </w:tblPr>
      <w:tblGrid>
        <w:gridCol w:w="3454"/>
        <w:gridCol w:w="3454"/>
      </w:tblGrid>
      <w:tr w:rsidR="002F0A88" w14:paraId="13CDED67" w14:textId="77777777" w:rsidTr="002F0A88">
        <w:tc>
          <w:tcPr>
            <w:tcW w:w="3454" w:type="dxa"/>
          </w:tcPr>
          <w:p w14:paraId="4C75FE46" w14:textId="2230F5DE" w:rsidR="002F0A88" w:rsidRDefault="00ED1762" w:rsidP="002F0A88">
            <w:pPr>
              <w:ind w:firstLine="0"/>
              <w:jc w:val="center"/>
            </w:pPr>
            <w:r>
              <w:lastRenderedPageBreak/>
              <w:t xml:space="preserve"> </w:t>
            </w:r>
            <w:r w:rsidR="002F0A88">
              <w:rPr>
                <w:noProof/>
              </w:rPr>
              <w:drawing>
                <wp:inline distT="0" distB="0" distL="0" distR="0" wp14:anchorId="7355E4B7" wp14:editId="408F5942">
                  <wp:extent cx="1463040" cy="898169"/>
                  <wp:effectExtent l="0" t="0" r="3810" b="0"/>
                  <wp:docPr id="86821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21311" name=""/>
                          <pic:cNvPicPr/>
                        </pic:nvPicPr>
                        <pic:blipFill>
                          <a:blip r:embed="rId22"/>
                          <a:stretch>
                            <a:fillRect/>
                          </a:stretch>
                        </pic:blipFill>
                        <pic:spPr>
                          <a:xfrm>
                            <a:off x="0" y="0"/>
                            <a:ext cx="1472419" cy="903927"/>
                          </a:xfrm>
                          <a:prstGeom prst="rect">
                            <a:avLst/>
                          </a:prstGeom>
                        </pic:spPr>
                      </pic:pic>
                    </a:graphicData>
                  </a:graphic>
                </wp:inline>
              </w:drawing>
            </w:r>
          </w:p>
        </w:tc>
        <w:tc>
          <w:tcPr>
            <w:tcW w:w="3454" w:type="dxa"/>
          </w:tcPr>
          <w:p w14:paraId="65A8B252" w14:textId="1574E5DB" w:rsidR="002F0A88" w:rsidRDefault="002F0A88" w:rsidP="002F0A88">
            <w:pPr>
              <w:ind w:firstLine="0"/>
              <w:jc w:val="center"/>
            </w:pPr>
            <w:r>
              <w:rPr>
                <w:noProof/>
              </w:rPr>
              <w:drawing>
                <wp:inline distT="0" distB="0" distL="0" distR="0" wp14:anchorId="40A2B6EF" wp14:editId="2148F359">
                  <wp:extent cx="1148963" cy="880300"/>
                  <wp:effectExtent l="0" t="0" r="0" b="0"/>
                  <wp:docPr id="57867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7119" name=""/>
                          <pic:cNvPicPr/>
                        </pic:nvPicPr>
                        <pic:blipFill>
                          <a:blip r:embed="rId23"/>
                          <a:stretch>
                            <a:fillRect/>
                          </a:stretch>
                        </pic:blipFill>
                        <pic:spPr>
                          <a:xfrm>
                            <a:off x="0" y="0"/>
                            <a:ext cx="1171406" cy="897495"/>
                          </a:xfrm>
                          <a:prstGeom prst="rect">
                            <a:avLst/>
                          </a:prstGeom>
                        </pic:spPr>
                      </pic:pic>
                    </a:graphicData>
                  </a:graphic>
                </wp:inline>
              </w:drawing>
            </w:r>
          </w:p>
        </w:tc>
      </w:tr>
      <w:tr w:rsidR="002F0A88" w14:paraId="7FEFDDB7" w14:textId="77777777" w:rsidTr="002F0A88">
        <w:tc>
          <w:tcPr>
            <w:tcW w:w="3454" w:type="dxa"/>
          </w:tcPr>
          <w:p w14:paraId="5E193453" w14:textId="1122824B" w:rsidR="002F0A88" w:rsidRPr="002F0A88" w:rsidRDefault="002F0A88" w:rsidP="002F0A88">
            <w:pPr>
              <w:ind w:firstLine="0"/>
              <w:jc w:val="center"/>
              <w:rPr>
                <w:sz w:val="18"/>
                <w:szCs w:val="18"/>
              </w:rPr>
            </w:pPr>
            <w:r w:rsidRPr="002F0A88">
              <w:rPr>
                <w:sz w:val="18"/>
                <w:szCs w:val="18"/>
              </w:rPr>
              <w:t>(a)</w:t>
            </w:r>
          </w:p>
        </w:tc>
        <w:tc>
          <w:tcPr>
            <w:tcW w:w="3454" w:type="dxa"/>
          </w:tcPr>
          <w:p w14:paraId="07F93EEE" w14:textId="3357E631" w:rsidR="002F0A88" w:rsidRPr="002F0A88" w:rsidRDefault="002F0A88" w:rsidP="002F0A88">
            <w:pPr>
              <w:ind w:firstLine="0"/>
              <w:jc w:val="center"/>
              <w:rPr>
                <w:sz w:val="18"/>
                <w:szCs w:val="18"/>
              </w:rPr>
            </w:pPr>
            <w:r w:rsidRPr="002F0A88">
              <w:rPr>
                <w:sz w:val="18"/>
                <w:szCs w:val="18"/>
              </w:rPr>
              <w:t>(b)</w:t>
            </w:r>
          </w:p>
        </w:tc>
      </w:tr>
    </w:tbl>
    <w:p w14:paraId="2B274152" w14:textId="3BDE4F4B" w:rsidR="002F0A88" w:rsidRPr="002F0A88" w:rsidRDefault="002F0A88" w:rsidP="002F0A88">
      <w:pPr>
        <w:pStyle w:val="figurecaption"/>
        <w:jc w:val="both"/>
      </w:pPr>
      <w:r>
        <w:rPr>
          <w:b/>
        </w:rPr>
        <w:t xml:space="preserve">Fig. </w:t>
      </w:r>
      <w:r w:rsidR="00AA0E7C">
        <w:rPr>
          <w:b/>
        </w:rPr>
        <w:t>11</w:t>
      </w:r>
      <w:r>
        <w:rPr>
          <w:b/>
        </w:rPr>
        <w:t>.</w:t>
      </w:r>
      <w:r>
        <w:t xml:space="preserve"> </w:t>
      </w:r>
      <w:r w:rsidRPr="002F0A88">
        <w:t>An image of the strain gauge provided in the column near the gusset plate (b) An image of the data acquisition system to record strain gauge data</w:t>
      </w:r>
      <w:r>
        <w:t>.</w:t>
      </w:r>
    </w:p>
    <w:p w14:paraId="601C0D30" w14:textId="2DE7EDEE" w:rsidR="008C7910" w:rsidRPr="00037F0B" w:rsidRDefault="008C7910" w:rsidP="008C7910">
      <w:pPr>
        <w:pStyle w:val="heading1"/>
      </w:pPr>
      <w:r w:rsidRPr="00037F0B">
        <w:t>Test Results</w:t>
      </w:r>
      <w:r w:rsidR="00DC0B53">
        <w:t xml:space="preserve"> and Discussions</w:t>
      </w:r>
    </w:p>
    <w:p w14:paraId="32A656A3" w14:textId="77777777" w:rsidR="00004FB4" w:rsidRPr="00004FB4" w:rsidRDefault="00004FB4" w:rsidP="00004FB4">
      <w:pPr>
        <w:pStyle w:val="ListParagraph"/>
        <w:keepNext/>
        <w:keepLines/>
        <w:numPr>
          <w:ilvl w:val="1"/>
          <w:numId w:val="9"/>
        </w:numPr>
        <w:suppressAutoHyphens/>
        <w:spacing w:before="360" w:after="160"/>
        <w:contextualSpacing w:val="0"/>
        <w:jc w:val="left"/>
        <w:outlineLvl w:val="1"/>
        <w:rPr>
          <w:b/>
          <w:vanish/>
        </w:rPr>
      </w:pPr>
    </w:p>
    <w:p w14:paraId="6CBC62BC" w14:textId="46205F89" w:rsidR="00F8078C" w:rsidRDefault="006B6ED3" w:rsidP="00AA0E7C">
      <w:pPr>
        <w:ind w:firstLine="0"/>
        <w:rPr>
          <w:sz w:val="18"/>
          <w:lang w:val="en-IN"/>
        </w:rPr>
      </w:pPr>
      <w:r w:rsidRPr="00004FB4">
        <w:rPr>
          <w:szCs w:val="22"/>
          <w:lang w:val="en-IN"/>
        </w:rPr>
        <w:t>The data recorded by the sensors along with corresponding Fourier transforms in loading step number 1, 2, 3, 4, respectively</w:t>
      </w:r>
      <w:r w:rsidR="00DC0B53">
        <w:rPr>
          <w:szCs w:val="22"/>
          <w:lang w:val="en-IN"/>
        </w:rPr>
        <w:t xml:space="preserve"> </w:t>
      </w:r>
      <w:r w:rsidR="00DC0B53" w:rsidRPr="00004FB4">
        <w:rPr>
          <w:szCs w:val="22"/>
          <w:lang w:val="en-IN"/>
        </w:rPr>
        <w:t>are shown in Fig. 1</w:t>
      </w:r>
      <w:r w:rsidR="00DC0B53">
        <w:rPr>
          <w:szCs w:val="22"/>
          <w:lang w:val="en-IN"/>
        </w:rPr>
        <w:t>2</w:t>
      </w:r>
      <w:r w:rsidR="00DC0B53" w:rsidRPr="00004FB4">
        <w:rPr>
          <w:szCs w:val="22"/>
          <w:lang w:val="en-IN"/>
        </w:rPr>
        <w:t xml:space="preserve"> to Fig. 1</w:t>
      </w:r>
      <w:r w:rsidR="00DC0B53">
        <w:rPr>
          <w:szCs w:val="22"/>
          <w:lang w:val="en-IN"/>
        </w:rPr>
        <w:t>5</w:t>
      </w:r>
      <w:r w:rsidRPr="00004FB4">
        <w:rPr>
          <w:szCs w:val="22"/>
          <w:lang w:val="en-IN"/>
        </w:rPr>
        <w:t xml:space="preserve">. In each FFT plot, a peak at near 0.6 Hz </w:t>
      </w:r>
      <w:r w:rsidR="00DC0B53">
        <w:rPr>
          <w:szCs w:val="22"/>
          <w:lang w:val="en-IN"/>
        </w:rPr>
        <w:t>was</w:t>
      </w:r>
      <w:r w:rsidRPr="00004FB4">
        <w:rPr>
          <w:szCs w:val="22"/>
          <w:lang w:val="en-IN"/>
        </w:rPr>
        <w:t xml:space="preserve"> observed which corresponds to the excitation frequency. Another peak </w:t>
      </w:r>
      <w:r w:rsidR="00DC0B53">
        <w:rPr>
          <w:szCs w:val="22"/>
          <w:lang w:val="en-IN"/>
        </w:rPr>
        <w:t>was</w:t>
      </w:r>
      <w:r w:rsidRPr="00004FB4">
        <w:rPr>
          <w:szCs w:val="22"/>
          <w:lang w:val="en-IN"/>
        </w:rPr>
        <w:t xml:space="preserve"> observed at near 0.9 Hz which was near the natural frequency (1.1 s natural period) of the steel frame determined by its eigen value analysis considering self-weight and weight of utilities has been lumped at the floor levels, and stiffness of steel frame. Natural frequencies corresponding to conventional and designed </w:t>
      </w:r>
      <w:r w:rsidR="00DC0B53">
        <w:rPr>
          <w:szCs w:val="22"/>
          <w:lang w:val="en-IN"/>
        </w:rPr>
        <w:t xml:space="preserve">braced </w:t>
      </w:r>
      <w:r w:rsidRPr="00004FB4">
        <w:rPr>
          <w:szCs w:val="22"/>
          <w:lang w:val="en-IN"/>
        </w:rPr>
        <w:t>support systems of utilities were obtained from the FFT plots of IR data. The slippage of anchor rod at one of the support points in the conventional cable tray support system in 3rd step led to decrease in initial peaks. Damage of the conventional cable tray support system occurring in 4th loading step result</w:t>
      </w:r>
      <w:r w:rsidR="00DC0B53">
        <w:rPr>
          <w:szCs w:val="22"/>
          <w:lang w:val="en-IN"/>
        </w:rPr>
        <w:t>ed</w:t>
      </w:r>
      <w:r w:rsidRPr="00004FB4">
        <w:rPr>
          <w:szCs w:val="22"/>
          <w:lang w:val="en-IN"/>
        </w:rPr>
        <w:t xml:space="preserve"> in partial decoupling of the NSE from the structural frame and manifested as the absence of a peak corresponding to natural period of the steel frame as shown in </w:t>
      </w:r>
      <w:r w:rsidR="00BC0742">
        <w:rPr>
          <w:szCs w:val="22"/>
          <w:lang w:val="en-IN"/>
        </w:rPr>
        <w:t xml:space="preserve">Fig. </w:t>
      </w:r>
      <w:r w:rsidRPr="00004FB4">
        <w:rPr>
          <w:szCs w:val="22"/>
          <w:lang w:val="en-IN"/>
        </w:rPr>
        <w:t xml:space="preserve"> 1</w:t>
      </w:r>
      <w:r w:rsidR="00DC0B53">
        <w:rPr>
          <w:szCs w:val="22"/>
          <w:lang w:val="en-IN"/>
        </w:rPr>
        <w:t>5</w:t>
      </w:r>
      <w:r w:rsidRPr="00004FB4">
        <w:rPr>
          <w:szCs w:val="22"/>
          <w:lang w:val="en-IN"/>
        </w:rPr>
        <w:t>(f).</w:t>
      </w:r>
    </w:p>
    <w:p w14:paraId="7EC153A8" w14:textId="7D915B5C" w:rsidR="005D223F" w:rsidRDefault="00F8078C" w:rsidP="00E05C4B">
      <w:pPr>
        <w:rPr>
          <w:szCs w:val="22"/>
          <w:lang w:val="en-IN"/>
        </w:rPr>
      </w:pPr>
      <w:r w:rsidRPr="00004FB4">
        <w:rPr>
          <w:szCs w:val="22"/>
          <w:lang w:val="en-IN"/>
        </w:rPr>
        <w:t>The data in CH</w:t>
      </w:r>
      <w:r>
        <w:rPr>
          <w:szCs w:val="22"/>
          <w:lang w:val="en-IN"/>
        </w:rPr>
        <w:t>2</w:t>
      </w:r>
      <w:r w:rsidRPr="00004FB4">
        <w:rPr>
          <w:szCs w:val="22"/>
          <w:lang w:val="en-IN"/>
        </w:rPr>
        <w:t xml:space="preserve"> corresponds to the displacement of conventional multiple pipe support assembly at the first floor while CH</w:t>
      </w:r>
      <w:r>
        <w:rPr>
          <w:szCs w:val="22"/>
          <w:lang w:val="en-IN"/>
        </w:rPr>
        <w:t>1</w:t>
      </w:r>
      <w:r w:rsidRPr="00004FB4">
        <w:rPr>
          <w:szCs w:val="22"/>
          <w:lang w:val="en-IN"/>
        </w:rPr>
        <w:t xml:space="preserve"> data shows the displacement of braced support assembly.</w:t>
      </w:r>
      <w:r w:rsidR="00F5127C">
        <w:rPr>
          <w:szCs w:val="22"/>
          <w:lang w:val="en-IN"/>
        </w:rPr>
        <w:t xml:space="preserve"> </w:t>
      </w:r>
      <w:r w:rsidR="00F5127C" w:rsidRPr="003D73B7">
        <w:rPr>
          <w:szCs w:val="22"/>
          <w:lang w:val="en-IN"/>
        </w:rPr>
        <w:t>The data in CH</w:t>
      </w:r>
      <w:r w:rsidR="00F5127C">
        <w:rPr>
          <w:szCs w:val="22"/>
          <w:lang w:val="en-IN"/>
        </w:rPr>
        <w:t>4</w:t>
      </w:r>
      <w:r w:rsidR="00F5127C" w:rsidRPr="003D73B7">
        <w:rPr>
          <w:szCs w:val="22"/>
          <w:lang w:val="en-IN"/>
        </w:rPr>
        <w:t xml:space="preserve"> corresponds to the displacement of conventional </w:t>
      </w:r>
      <w:r w:rsidR="00021380">
        <w:rPr>
          <w:szCs w:val="22"/>
          <w:lang w:val="en-IN"/>
        </w:rPr>
        <w:t>single</w:t>
      </w:r>
      <w:r w:rsidR="00F5127C" w:rsidRPr="003D73B7">
        <w:rPr>
          <w:szCs w:val="22"/>
          <w:lang w:val="en-IN"/>
        </w:rPr>
        <w:t xml:space="preserve"> pipe support assembly at the </w:t>
      </w:r>
      <w:r w:rsidR="00021380">
        <w:rPr>
          <w:szCs w:val="22"/>
          <w:lang w:val="en-IN"/>
        </w:rPr>
        <w:t xml:space="preserve">second </w:t>
      </w:r>
      <w:r w:rsidR="00F5127C" w:rsidRPr="003D73B7">
        <w:rPr>
          <w:szCs w:val="22"/>
          <w:lang w:val="en-IN"/>
        </w:rPr>
        <w:t>floor while CH</w:t>
      </w:r>
      <w:r w:rsidR="00F5127C">
        <w:rPr>
          <w:szCs w:val="22"/>
          <w:lang w:val="en-IN"/>
        </w:rPr>
        <w:t>3</w:t>
      </w:r>
      <w:r w:rsidR="00F5127C" w:rsidRPr="003D73B7">
        <w:rPr>
          <w:szCs w:val="22"/>
          <w:lang w:val="en-IN"/>
        </w:rPr>
        <w:t xml:space="preserve"> data shows the displacement of braced </w:t>
      </w:r>
      <w:r w:rsidR="00021380">
        <w:rPr>
          <w:szCs w:val="22"/>
          <w:lang w:val="en-IN"/>
        </w:rPr>
        <w:t xml:space="preserve">pipe </w:t>
      </w:r>
      <w:r w:rsidR="00F5127C" w:rsidRPr="003D73B7">
        <w:rPr>
          <w:szCs w:val="22"/>
          <w:lang w:val="en-IN"/>
        </w:rPr>
        <w:t>support assembly.</w:t>
      </w:r>
      <w:r w:rsidR="00436BF6">
        <w:rPr>
          <w:szCs w:val="22"/>
          <w:lang w:val="en-IN"/>
        </w:rPr>
        <w:t xml:space="preserve"> </w:t>
      </w:r>
      <w:r w:rsidR="00436BF6" w:rsidRPr="003D73B7">
        <w:rPr>
          <w:szCs w:val="22"/>
          <w:lang w:val="en-IN"/>
        </w:rPr>
        <w:t>The data in CH</w:t>
      </w:r>
      <w:r w:rsidR="00436BF6">
        <w:rPr>
          <w:szCs w:val="22"/>
          <w:lang w:val="en-IN"/>
        </w:rPr>
        <w:t>5</w:t>
      </w:r>
      <w:r w:rsidR="00436BF6" w:rsidRPr="003D73B7">
        <w:rPr>
          <w:szCs w:val="22"/>
          <w:lang w:val="en-IN"/>
        </w:rPr>
        <w:t xml:space="preserve"> corresponds to the displacement of conventional </w:t>
      </w:r>
      <w:r w:rsidR="00436BF6">
        <w:rPr>
          <w:szCs w:val="22"/>
          <w:lang w:val="en-IN"/>
        </w:rPr>
        <w:t>cable tray</w:t>
      </w:r>
      <w:r w:rsidR="00436BF6" w:rsidRPr="003D73B7">
        <w:rPr>
          <w:szCs w:val="22"/>
          <w:lang w:val="en-IN"/>
        </w:rPr>
        <w:t xml:space="preserve"> support assembly at the </w:t>
      </w:r>
      <w:r w:rsidR="00436BF6">
        <w:rPr>
          <w:szCs w:val="22"/>
          <w:lang w:val="en-IN"/>
        </w:rPr>
        <w:t xml:space="preserve">third </w:t>
      </w:r>
      <w:r w:rsidR="00436BF6" w:rsidRPr="003D73B7">
        <w:rPr>
          <w:szCs w:val="22"/>
          <w:lang w:val="en-IN"/>
        </w:rPr>
        <w:t>floor while CH</w:t>
      </w:r>
      <w:r w:rsidR="00436BF6">
        <w:rPr>
          <w:szCs w:val="22"/>
          <w:lang w:val="en-IN"/>
        </w:rPr>
        <w:t>6</w:t>
      </w:r>
      <w:r w:rsidR="00436BF6" w:rsidRPr="003D73B7">
        <w:rPr>
          <w:szCs w:val="22"/>
          <w:lang w:val="en-IN"/>
        </w:rPr>
        <w:t xml:space="preserve"> data shows the displacement of braced support assembly.</w:t>
      </w:r>
    </w:p>
    <w:p w14:paraId="55BA4A82" w14:textId="77777777" w:rsidR="004B1D93" w:rsidRPr="00004FB4" w:rsidRDefault="004B1D93" w:rsidP="00004FB4">
      <w:pPr>
        <w:ind w:firstLine="0"/>
        <w:rPr>
          <w:szCs w:val="22"/>
          <w:lang w:val="en-IN"/>
        </w:rPr>
      </w:pPr>
    </w:p>
    <w:p w14:paraId="5C343969" w14:textId="2AAF2386" w:rsidR="00771782" w:rsidRDefault="005D223F" w:rsidP="00771782">
      <w:r w:rsidRPr="005D223F">
        <w:rPr>
          <w:noProof/>
        </w:rPr>
        <w:drawing>
          <wp:inline distT="0" distB="0" distL="0" distR="0" wp14:anchorId="2778BA5B" wp14:editId="06736FC5">
            <wp:extent cx="4392930" cy="1471295"/>
            <wp:effectExtent l="0" t="0" r="7620" b="0"/>
            <wp:docPr id="5857082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70825" name="Picture 1" descr="A screenshot of a graph&#10;&#10;Description automatically generated"/>
                    <pic:cNvPicPr/>
                  </pic:nvPicPr>
                  <pic:blipFill>
                    <a:blip r:embed="rId24"/>
                    <a:stretch>
                      <a:fillRect/>
                    </a:stretch>
                  </pic:blipFill>
                  <pic:spPr>
                    <a:xfrm>
                      <a:off x="0" y="0"/>
                      <a:ext cx="4392930" cy="1471295"/>
                    </a:xfrm>
                    <a:prstGeom prst="rect">
                      <a:avLst/>
                    </a:prstGeom>
                  </pic:spPr>
                </pic:pic>
              </a:graphicData>
            </a:graphic>
          </wp:inline>
        </w:drawing>
      </w:r>
    </w:p>
    <w:p w14:paraId="348DF58A" w14:textId="1D8BCA67" w:rsidR="005D223F" w:rsidRDefault="005D223F" w:rsidP="00771782">
      <w:r w:rsidRPr="005D223F">
        <w:rPr>
          <w:noProof/>
        </w:rPr>
        <w:lastRenderedPageBreak/>
        <w:drawing>
          <wp:inline distT="0" distB="0" distL="0" distR="0" wp14:anchorId="16E089B1" wp14:editId="526EC845">
            <wp:extent cx="4392930" cy="1457960"/>
            <wp:effectExtent l="0" t="0" r="7620" b="8890"/>
            <wp:docPr id="1133884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884355" name=""/>
                    <pic:cNvPicPr/>
                  </pic:nvPicPr>
                  <pic:blipFill>
                    <a:blip r:embed="rId25"/>
                    <a:stretch>
                      <a:fillRect/>
                    </a:stretch>
                  </pic:blipFill>
                  <pic:spPr>
                    <a:xfrm>
                      <a:off x="0" y="0"/>
                      <a:ext cx="4392930" cy="1457960"/>
                    </a:xfrm>
                    <a:prstGeom prst="rect">
                      <a:avLst/>
                    </a:prstGeom>
                  </pic:spPr>
                </pic:pic>
              </a:graphicData>
            </a:graphic>
          </wp:inline>
        </w:drawing>
      </w:r>
    </w:p>
    <w:p w14:paraId="2BAF8E92" w14:textId="77777777" w:rsidR="00295C2A" w:rsidRDefault="00295C2A" w:rsidP="00771782"/>
    <w:p w14:paraId="05B1F8EC" w14:textId="43413323" w:rsidR="00295C2A" w:rsidRDefault="00295C2A" w:rsidP="00771782">
      <w:r w:rsidRPr="00295C2A">
        <w:rPr>
          <w:noProof/>
        </w:rPr>
        <w:drawing>
          <wp:inline distT="0" distB="0" distL="0" distR="0" wp14:anchorId="3753B0F0" wp14:editId="7B4EE13B">
            <wp:extent cx="4392930" cy="1593215"/>
            <wp:effectExtent l="0" t="0" r="7620" b="6985"/>
            <wp:docPr id="1756247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247257" name=""/>
                    <pic:cNvPicPr/>
                  </pic:nvPicPr>
                  <pic:blipFill>
                    <a:blip r:embed="rId26"/>
                    <a:stretch>
                      <a:fillRect/>
                    </a:stretch>
                  </pic:blipFill>
                  <pic:spPr>
                    <a:xfrm>
                      <a:off x="0" y="0"/>
                      <a:ext cx="4392930" cy="1593215"/>
                    </a:xfrm>
                    <a:prstGeom prst="rect">
                      <a:avLst/>
                    </a:prstGeom>
                  </pic:spPr>
                </pic:pic>
              </a:graphicData>
            </a:graphic>
          </wp:inline>
        </w:drawing>
      </w:r>
    </w:p>
    <w:p w14:paraId="30014BD4" w14:textId="2F4E4A44" w:rsidR="00295C2A" w:rsidRDefault="00BC0742" w:rsidP="00DC0B53">
      <w:pPr>
        <w:ind w:firstLine="0"/>
        <w:jc w:val="left"/>
        <w:rPr>
          <w:sz w:val="18"/>
          <w:szCs w:val="18"/>
        </w:rPr>
      </w:pPr>
      <w:r w:rsidRPr="00DC0B53">
        <w:rPr>
          <w:b/>
          <w:bCs/>
          <w:sz w:val="18"/>
        </w:rPr>
        <w:t xml:space="preserve">Fig. </w:t>
      </w:r>
      <w:r w:rsidR="00295C2A" w:rsidRPr="00DC0B53">
        <w:rPr>
          <w:b/>
          <w:bCs/>
          <w:sz w:val="18"/>
        </w:rPr>
        <w:t xml:space="preserve"> 1</w:t>
      </w:r>
      <w:r w:rsidR="00DC0B53">
        <w:rPr>
          <w:b/>
          <w:bCs/>
          <w:sz w:val="18"/>
        </w:rPr>
        <w:t>2</w:t>
      </w:r>
      <w:r w:rsidR="00DC0B53" w:rsidRPr="00DC0B53">
        <w:rPr>
          <w:b/>
          <w:bCs/>
          <w:sz w:val="18"/>
        </w:rPr>
        <w:t>.</w:t>
      </w:r>
      <w:r w:rsidR="00295C2A">
        <w:rPr>
          <w:sz w:val="18"/>
        </w:rPr>
        <w:t xml:space="preserve"> </w:t>
      </w:r>
      <w:r w:rsidR="00295C2A" w:rsidRPr="00004FB4">
        <w:rPr>
          <w:sz w:val="18"/>
          <w:szCs w:val="18"/>
        </w:rPr>
        <w:t>Data</w:t>
      </w:r>
      <w:r w:rsidR="00295C2A" w:rsidRPr="00004FB4">
        <w:rPr>
          <w:spacing w:val="42"/>
          <w:sz w:val="18"/>
          <w:szCs w:val="18"/>
        </w:rPr>
        <w:t xml:space="preserve"> </w:t>
      </w:r>
      <w:r w:rsidR="00295C2A" w:rsidRPr="00004FB4">
        <w:rPr>
          <w:sz w:val="18"/>
          <w:szCs w:val="18"/>
        </w:rPr>
        <w:t>recorded</w:t>
      </w:r>
      <w:r w:rsidR="00295C2A" w:rsidRPr="00004FB4">
        <w:rPr>
          <w:spacing w:val="43"/>
          <w:sz w:val="18"/>
          <w:szCs w:val="18"/>
        </w:rPr>
        <w:t xml:space="preserve"> </w:t>
      </w:r>
      <w:r w:rsidR="00295C2A" w:rsidRPr="00004FB4">
        <w:rPr>
          <w:sz w:val="18"/>
          <w:szCs w:val="18"/>
        </w:rPr>
        <w:t>by</w:t>
      </w:r>
      <w:r w:rsidR="00295C2A" w:rsidRPr="00004FB4">
        <w:rPr>
          <w:spacing w:val="43"/>
          <w:sz w:val="18"/>
          <w:szCs w:val="18"/>
        </w:rPr>
        <w:t xml:space="preserve"> </w:t>
      </w:r>
      <w:r w:rsidR="00295C2A" w:rsidRPr="00004FB4">
        <w:rPr>
          <w:sz w:val="18"/>
          <w:szCs w:val="18"/>
        </w:rPr>
        <w:t>IR</w:t>
      </w:r>
      <w:r w:rsidR="00295C2A" w:rsidRPr="00004FB4">
        <w:rPr>
          <w:spacing w:val="45"/>
          <w:sz w:val="18"/>
          <w:szCs w:val="18"/>
        </w:rPr>
        <w:t xml:space="preserve"> </w:t>
      </w:r>
      <w:r w:rsidR="00295C2A" w:rsidRPr="00004FB4">
        <w:rPr>
          <w:sz w:val="18"/>
          <w:szCs w:val="18"/>
        </w:rPr>
        <w:t>sensors</w:t>
      </w:r>
      <w:r w:rsidR="00295C2A" w:rsidRPr="00004FB4">
        <w:rPr>
          <w:spacing w:val="43"/>
          <w:sz w:val="18"/>
          <w:szCs w:val="18"/>
        </w:rPr>
        <w:t xml:space="preserve"> </w:t>
      </w:r>
      <w:r w:rsidR="00295C2A" w:rsidRPr="00004FB4">
        <w:rPr>
          <w:sz w:val="18"/>
          <w:szCs w:val="18"/>
        </w:rPr>
        <w:t>in</w:t>
      </w:r>
      <w:r w:rsidR="00295C2A" w:rsidRPr="00004FB4">
        <w:rPr>
          <w:spacing w:val="43"/>
          <w:sz w:val="18"/>
          <w:szCs w:val="18"/>
        </w:rPr>
        <w:t xml:space="preserve"> </w:t>
      </w:r>
      <w:r w:rsidR="00295C2A" w:rsidRPr="00004FB4">
        <w:rPr>
          <w:sz w:val="18"/>
          <w:szCs w:val="18"/>
        </w:rPr>
        <w:t>1</w:t>
      </w:r>
      <w:r w:rsidR="00295C2A" w:rsidRPr="00004FB4">
        <w:rPr>
          <w:sz w:val="18"/>
          <w:szCs w:val="18"/>
          <w:vertAlign w:val="superscript"/>
        </w:rPr>
        <w:t>st</w:t>
      </w:r>
      <w:r w:rsidR="00295C2A" w:rsidRPr="00004FB4">
        <w:rPr>
          <w:spacing w:val="44"/>
          <w:sz w:val="18"/>
          <w:szCs w:val="18"/>
        </w:rPr>
        <w:t xml:space="preserve"> </w:t>
      </w:r>
      <w:r w:rsidR="00295C2A" w:rsidRPr="00004FB4">
        <w:rPr>
          <w:sz w:val="18"/>
          <w:szCs w:val="18"/>
        </w:rPr>
        <w:t>loading</w:t>
      </w:r>
      <w:r w:rsidR="00295C2A" w:rsidRPr="00004FB4">
        <w:rPr>
          <w:spacing w:val="44"/>
          <w:sz w:val="18"/>
          <w:szCs w:val="18"/>
        </w:rPr>
        <w:t xml:space="preserve"> </w:t>
      </w:r>
      <w:r w:rsidR="00295C2A" w:rsidRPr="00004FB4">
        <w:rPr>
          <w:sz w:val="18"/>
          <w:szCs w:val="18"/>
        </w:rPr>
        <w:t>step</w:t>
      </w:r>
      <w:r w:rsidR="00295C2A" w:rsidRPr="00004FB4">
        <w:rPr>
          <w:spacing w:val="43"/>
          <w:sz w:val="18"/>
          <w:szCs w:val="18"/>
        </w:rPr>
        <w:t xml:space="preserve"> </w:t>
      </w:r>
      <w:r w:rsidR="00295C2A" w:rsidRPr="00004FB4">
        <w:rPr>
          <w:sz w:val="18"/>
          <w:szCs w:val="18"/>
        </w:rPr>
        <w:t>along</w:t>
      </w:r>
      <w:r w:rsidR="00295C2A" w:rsidRPr="00004FB4">
        <w:rPr>
          <w:spacing w:val="43"/>
          <w:sz w:val="18"/>
          <w:szCs w:val="18"/>
        </w:rPr>
        <w:t xml:space="preserve"> </w:t>
      </w:r>
      <w:r w:rsidR="00295C2A" w:rsidRPr="00004FB4">
        <w:rPr>
          <w:sz w:val="18"/>
          <w:szCs w:val="18"/>
        </w:rPr>
        <w:t>with</w:t>
      </w:r>
      <w:r w:rsidR="00295C2A" w:rsidRPr="00004FB4">
        <w:rPr>
          <w:spacing w:val="43"/>
          <w:sz w:val="18"/>
          <w:szCs w:val="18"/>
        </w:rPr>
        <w:t xml:space="preserve"> </w:t>
      </w:r>
      <w:r w:rsidR="00295C2A" w:rsidRPr="00004FB4">
        <w:rPr>
          <w:sz w:val="18"/>
          <w:szCs w:val="18"/>
        </w:rPr>
        <w:t>their</w:t>
      </w:r>
      <w:r w:rsidR="00DC0B53">
        <w:rPr>
          <w:spacing w:val="44"/>
          <w:sz w:val="18"/>
          <w:szCs w:val="18"/>
        </w:rPr>
        <w:t xml:space="preserve"> </w:t>
      </w:r>
      <w:proofErr w:type="gramStart"/>
      <w:r w:rsidR="00295C2A" w:rsidRPr="00004FB4">
        <w:rPr>
          <w:sz w:val="18"/>
          <w:szCs w:val="18"/>
        </w:rPr>
        <w:t xml:space="preserve">Fourier </w:t>
      </w:r>
      <w:r w:rsidR="00295C2A" w:rsidRPr="00004FB4">
        <w:rPr>
          <w:spacing w:val="-57"/>
          <w:sz w:val="18"/>
          <w:szCs w:val="18"/>
        </w:rPr>
        <w:t xml:space="preserve"> </w:t>
      </w:r>
      <w:r w:rsidR="00295C2A" w:rsidRPr="00004FB4">
        <w:rPr>
          <w:sz w:val="18"/>
          <w:szCs w:val="18"/>
        </w:rPr>
        <w:t>transform</w:t>
      </w:r>
      <w:proofErr w:type="gramEnd"/>
    </w:p>
    <w:p w14:paraId="74E70920" w14:textId="77777777" w:rsidR="00295C2A" w:rsidRDefault="00295C2A" w:rsidP="00295C2A">
      <w:pPr>
        <w:ind w:firstLine="0"/>
        <w:jc w:val="center"/>
        <w:rPr>
          <w:sz w:val="18"/>
          <w:szCs w:val="18"/>
        </w:rPr>
      </w:pPr>
    </w:p>
    <w:p w14:paraId="0F99231B" w14:textId="510EE401" w:rsidR="00295C2A" w:rsidRDefault="00295C2A" w:rsidP="00295C2A">
      <w:pPr>
        <w:ind w:firstLine="0"/>
        <w:jc w:val="center"/>
      </w:pPr>
      <w:r w:rsidRPr="00295C2A">
        <w:rPr>
          <w:noProof/>
        </w:rPr>
        <w:drawing>
          <wp:inline distT="0" distB="0" distL="0" distR="0" wp14:anchorId="434DE61C" wp14:editId="13E88A6B">
            <wp:extent cx="4392930" cy="1483995"/>
            <wp:effectExtent l="0" t="0" r="7620" b="1905"/>
            <wp:docPr id="164876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76287" name=""/>
                    <pic:cNvPicPr/>
                  </pic:nvPicPr>
                  <pic:blipFill>
                    <a:blip r:embed="rId27"/>
                    <a:stretch>
                      <a:fillRect/>
                    </a:stretch>
                  </pic:blipFill>
                  <pic:spPr>
                    <a:xfrm>
                      <a:off x="0" y="0"/>
                      <a:ext cx="4392930" cy="1483995"/>
                    </a:xfrm>
                    <a:prstGeom prst="rect">
                      <a:avLst/>
                    </a:prstGeom>
                  </pic:spPr>
                </pic:pic>
              </a:graphicData>
            </a:graphic>
          </wp:inline>
        </w:drawing>
      </w:r>
    </w:p>
    <w:p w14:paraId="3C5C7732" w14:textId="30AC2856" w:rsidR="00295C2A" w:rsidRDefault="00295C2A" w:rsidP="00295C2A">
      <w:pPr>
        <w:ind w:firstLine="0"/>
        <w:jc w:val="center"/>
      </w:pPr>
      <w:r w:rsidRPr="00295C2A">
        <w:rPr>
          <w:noProof/>
        </w:rPr>
        <w:drawing>
          <wp:inline distT="0" distB="0" distL="0" distR="0" wp14:anchorId="57942FBA" wp14:editId="0C3C63AF">
            <wp:extent cx="4392930" cy="1422400"/>
            <wp:effectExtent l="0" t="0" r="7620" b="6350"/>
            <wp:docPr id="5348678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867803" name=""/>
                    <pic:cNvPicPr/>
                  </pic:nvPicPr>
                  <pic:blipFill>
                    <a:blip r:embed="rId28"/>
                    <a:stretch>
                      <a:fillRect/>
                    </a:stretch>
                  </pic:blipFill>
                  <pic:spPr>
                    <a:xfrm>
                      <a:off x="0" y="0"/>
                      <a:ext cx="4392930" cy="1422400"/>
                    </a:xfrm>
                    <a:prstGeom prst="rect">
                      <a:avLst/>
                    </a:prstGeom>
                  </pic:spPr>
                </pic:pic>
              </a:graphicData>
            </a:graphic>
          </wp:inline>
        </w:drawing>
      </w:r>
    </w:p>
    <w:p w14:paraId="392A16C2" w14:textId="7D78F333" w:rsidR="00295C2A" w:rsidRDefault="00295C2A" w:rsidP="00295C2A">
      <w:pPr>
        <w:ind w:firstLine="0"/>
        <w:jc w:val="center"/>
      </w:pPr>
      <w:r w:rsidRPr="00295C2A">
        <w:rPr>
          <w:noProof/>
        </w:rPr>
        <w:lastRenderedPageBreak/>
        <w:drawing>
          <wp:inline distT="0" distB="0" distL="0" distR="0" wp14:anchorId="2416E9EF" wp14:editId="10FB1EB7">
            <wp:extent cx="4392930" cy="1422400"/>
            <wp:effectExtent l="0" t="0" r="7620" b="6350"/>
            <wp:docPr id="821320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320619" name=""/>
                    <pic:cNvPicPr/>
                  </pic:nvPicPr>
                  <pic:blipFill>
                    <a:blip r:embed="rId29"/>
                    <a:stretch>
                      <a:fillRect/>
                    </a:stretch>
                  </pic:blipFill>
                  <pic:spPr>
                    <a:xfrm>
                      <a:off x="0" y="0"/>
                      <a:ext cx="4392930" cy="1422400"/>
                    </a:xfrm>
                    <a:prstGeom prst="rect">
                      <a:avLst/>
                    </a:prstGeom>
                  </pic:spPr>
                </pic:pic>
              </a:graphicData>
            </a:graphic>
          </wp:inline>
        </w:drawing>
      </w:r>
    </w:p>
    <w:p w14:paraId="4FB2B4E2" w14:textId="01D7A78C" w:rsidR="00295C2A" w:rsidRDefault="00BC0742" w:rsidP="00DC0B53">
      <w:pPr>
        <w:ind w:firstLine="0"/>
        <w:jc w:val="left"/>
        <w:rPr>
          <w:sz w:val="18"/>
          <w:szCs w:val="18"/>
        </w:rPr>
      </w:pPr>
      <w:r w:rsidRPr="00DC0B53">
        <w:rPr>
          <w:b/>
          <w:bCs/>
          <w:sz w:val="18"/>
        </w:rPr>
        <w:t xml:space="preserve">Fig. </w:t>
      </w:r>
      <w:r w:rsidR="00295C2A" w:rsidRPr="00DC0B53">
        <w:rPr>
          <w:b/>
          <w:bCs/>
          <w:sz w:val="18"/>
        </w:rPr>
        <w:t xml:space="preserve"> 1</w:t>
      </w:r>
      <w:r w:rsidR="00DC0B53">
        <w:rPr>
          <w:b/>
          <w:bCs/>
          <w:sz w:val="18"/>
        </w:rPr>
        <w:t>3</w:t>
      </w:r>
      <w:r w:rsidR="00DC0B53" w:rsidRPr="00DC0B53">
        <w:rPr>
          <w:b/>
          <w:bCs/>
          <w:sz w:val="18"/>
        </w:rPr>
        <w:t>.</w:t>
      </w:r>
      <w:r w:rsidR="00295C2A">
        <w:rPr>
          <w:sz w:val="18"/>
        </w:rPr>
        <w:t xml:space="preserve"> </w:t>
      </w:r>
      <w:r w:rsidR="00295C2A" w:rsidRPr="003D73B7">
        <w:rPr>
          <w:sz w:val="18"/>
          <w:szCs w:val="18"/>
        </w:rPr>
        <w:t>Data</w:t>
      </w:r>
      <w:r w:rsidR="00295C2A" w:rsidRPr="003D73B7">
        <w:rPr>
          <w:spacing w:val="42"/>
          <w:sz w:val="18"/>
          <w:szCs w:val="18"/>
        </w:rPr>
        <w:t xml:space="preserve"> </w:t>
      </w:r>
      <w:r w:rsidR="00295C2A" w:rsidRPr="003D73B7">
        <w:rPr>
          <w:sz w:val="18"/>
          <w:szCs w:val="18"/>
        </w:rPr>
        <w:t>recorded</w:t>
      </w:r>
      <w:r w:rsidR="00295C2A" w:rsidRPr="003D73B7">
        <w:rPr>
          <w:spacing w:val="43"/>
          <w:sz w:val="18"/>
          <w:szCs w:val="18"/>
        </w:rPr>
        <w:t xml:space="preserve"> </w:t>
      </w:r>
      <w:r w:rsidR="00295C2A" w:rsidRPr="003D73B7">
        <w:rPr>
          <w:sz w:val="18"/>
          <w:szCs w:val="18"/>
        </w:rPr>
        <w:t>by</w:t>
      </w:r>
      <w:r w:rsidR="00295C2A" w:rsidRPr="003D73B7">
        <w:rPr>
          <w:spacing w:val="43"/>
          <w:sz w:val="18"/>
          <w:szCs w:val="18"/>
        </w:rPr>
        <w:t xml:space="preserve"> </w:t>
      </w:r>
      <w:r w:rsidR="00295C2A" w:rsidRPr="003D73B7">
        <w:rPr>
          <w:sz w:val="18"/>
          <w:szCs w:val="18"/>
        </w:rPr>
        <w:t>IR</w:t>
      </w:r>
      <w:r w:rsidR="00295C2A" w:rsidRPr="003D73B7">
        <w:rPr>
          <w:spacing w:val="45"/>
          <w:sz w:val="18"/>
          <w:szCs w:val="18"/>
        </w:rPr>
        <w:t xml:space="preserve"> </w:t>
      </w:r>
      <w:r w:rsidR="00295C2A" w:rsidRPr="003D73B7">
        <w:rPr>
          <w:sz w:val="18"/>
          <w:szCs w:val="18"/>
        </w:rPr>
        <w:t>sensors</w:t>
      </w:r>
      <w:r w:rsidR="00295C2A" w:rsidRPr="003D73B7">
        <w:rPr>
          <w:spacing w:val="43"/>
          <w:sz w:val="18"/>
          <w:szCs w:val="18"/>
        </w:rPr>
        <w:t xml:space="preserve"> </w:t>
      </w:r>
      <w:r w:rsidR="00295C2A" w:rsidRPr="003D73B7">
        <w:rPr>
          <w:sz w:val="18"/>
          <w:szCs w:val="18"/>
        </w:rPr>
        <w:t>in</w:t>
      </w:r>
      <w:r w:rsidR="00295C2A" w:rsidRPr="003D73B7">
        <w:rPr>
          <w:spacing w:val="43"/>
          <w:sz w:val="18"/>
          <w:szCs w:val="18"/>
        </w:rPr>
        <w:t xml:space="preserve"> </w:t>
      </w:r>
      <w:r w:rsidR="00295C2A">
        <w:rPr>
          <w:sz w:val="18"/>
          <w:szCs w:val="18"/>
        </w:rPr>
        <w:t>2</w:t>
      </w:r>
      <w:r w:rsidR="00295C2A" w:rsidRPr="00004FB4">
        <w:rPr>
          <w:sz w:val="18"/>
          <w:szCs w:val="18"/>
          <w:vertAlign w:val="superscript"/>
        </w:rPr>
        <w:t>nd</w:t>
      </w:r>
      <w:r w:rsidR="00295C2A">
        <w:rPr>
          <w:sz w:val="18"/>
          <w:szCs w:val="18"/>
        </w:rPr>
        <w:t xml:space="preserve"> </w:t>
      </w:r>
      <w:r w:rsidR="00295C2A" w:rsidRPr="003D73B7">
        <w:rPr>
          <w:sz w:val="18"/>
          <w:szCs w:val="18"/>
        </w:rPr>
        <w:t>loading</w:t>
      </w:r>
      <w:r w:rsidR="00295C2A" w:rsidRPr="003D73B7">
        <w:rPr>
          <w:spacing w:val="44"/>
          <w:sz w:val="18"/>
          <w:szCs w:val="18"/>
        </w:rPr>
        <w:t xml:space="preserve"> </w:t>
      </w:r>
      <w:r w:rsidR="00295C2A" w:rsidRPr="003D73B7">
        <w:rPr>
          <w:sz w:val="18"/>
          <w:szCs w:val="18"/>
        </w:rPr>
        <w:t>step</w:t>
      </w:r>
      <w:r w:rsidR="00295C2A" w:rsidRPr="003D73B7">
        <w:rPr>
          <w:spacing w:val="43"/>
          <w:sz w:val="18"/>
          <w:szCs w:val="18"/>
        </w:rPr>
        <w:t xml:space="preserve"> </w:t>
      </w:r>
      <w:r w:rsidR="00295C2A" w:rsidRPr="003D73B7">
        <w:rPr>
          <w:sz w:val="18"/>
          <w:szCs w:val="18"/>
        </w:rPr>
        <w:t>along</w:t>
      </w:r>
      <w:r w:rsidR="00295C2A" w:rsidRPr="003D73B7">
        <w:rPr>
          <w:spacing w:val="43"/>
          <w:sz w:val="18"/>
          <w:szCs w:val="18"/>
        </w:rPr>
        <w:t xml:space="preserve"> </w:t>
      </w:r>
      <w:r w:rsidR="00295C2A" w:rsidRPr="003D73B7">
        <w:rPr>
          <w:sz w:val="18"/>
          <w:szCs w:val="18"/>
        </w:rPr>
        <w:t>with</w:t>
      </w:r>
      <w:r w:rsidR="00295C2A" w:rsidRPr="003D73B7">
        <w:rPr>
          <w:spacing w:val="43"/>
          <w:sz w:val="18"/>
          <w:szCs w:val="18"/>
        </w:rPr>
        <w:t xml:space="preserve"> </w:t>
      </w:r>
      <w:r w:rsidR="00295C2A" w:rsidRPr="003D73B7">
        <w:rPr>
          <w:sz w:val="18"/>
          <w:szCs w:val="18"/>
        </w:rPr>
        <w:t>their</w:t>
      </w:r>
      <w:r w:rsidR="00DC0B53">
        <w:rPr>
          <w:sz w:val="18"/>
          <w:szCs w:val="18"/>
        </w:rPr>
        <w:t xml:space="preserve"> </w:t>
      </w:r>
      <w:proofErr w:type="gramStart"/>
      <w:r w:rsidR="00295C2A" w:rsidRPr="003D73B7">
        <w:rPr>
          <w:sz w:val="18"/>
          <w:szCs w:val="18"/>
        </w:rPr>
        <w:t xml:space="preserve">Fourier </w:t>
      </w:r>
      <w:r w:rsidR="00295C2A" w:rsidRPr="003D73B7">
        <w:rPr>
          <w:spacing w:val="-57"/>
          <w:sz w:val="18"/>
          <w:szCs w:val="18"/>
        </w:rPr>
        <w:t xml:space="preserve"> </w:t>
      </w:r>
      <w:r w:rsidR="00295C2A" w:rsidRPr="003D73B7">
        <w:rPr>
          <w:sz w:val="18"/>
          <w:szCs w:val="18"/>
        </w:rPr>
        <w:t>transform</w:t>
      </w:r>
      <w:proofErr w:type="gramEnd"/>
    </w:p>
    <w:p w14:paraId="5FACFAEE" w14:textId="77777777" w:rsidR="00295C2A" w:rsidRDefault="00295C2A" w:rsidP="00295C2A">
      <w:pPr>
        <w:ind w:firstLine="0"/>
        <w:jc w:val="center"/>
      </w:pPr>
    </w:p>
    <w:p w14:paraId="672C1008" w14:textId="6F36696D" w:rsidR="00295C2A" w:rsidRDefault="00295C2A" w:rsidP="00295C2A">
      <w:pPr>
        <w:ind w:firstLine="0"/>
        <w:jc w:val="center"/>
      </w:pPr>
      <w:r w:rsidRPr="00295C2A">
        <w:rPr>
          <w:noProof/>
        </w:rPr>
        <w:drawing>
          <wp:inline distT="0" distB="0" distL="0" distR="0" wp14:anchorId="15776A52" wp14:editId="027B4617">
            <wp:extent cx="4392930" cy="1459865"/>
            <wp:effectExtent l="0" t="0" r="7620" b="6985"/>
            <wp:docPr id="12054875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487559" name=""/>
                    <pic:cNvPicPr/>
                  </pic:nvPicPr>
                  <pic:blipFill>
                    <a:blip r:embed="rId30"/>
                    <a:stretch>
                      <a:fillRect/>
                    </a:stretch>
                  </pic:blipFill>
                  <pic:spPr>
                    <a:xfrm>
                      <a:off x="0" y="0"/>
                      <a:ext cx="4392930" cy="1459865"/>
                    </a:xfrm>
                    <a:prstGeom prst="rect">
                      <a:avLst/>
                    </a:prstGeom>
                  </pic:spPr>
                </pic:pic>
              </a:graphicData>
            </a:graphic>
          </wp:inline>
        </w:drawing>
      </w:r>
    </w:p>
    <w:p w14:paraId="73526226" w14:textId="5CD6DC32" w:rsidR="00D401D3" w:rsidRDefault="00D401D3" w:rsidP="00004FB4">
      <w:pPr>
        <w:ind w:firstLine="0"/>
        <w:jc w:val="center"/>
      </w:pPr>
      <w:r w:rsidRPr="00D401D3">
        <w:rPr>
          <w:noProof/>
        </w:rPr>
        <w:drawing>
          <wp:inline distT="0" distB="0" distL="0" distR="0" wp14:anchorId="39CA468D" wp14:editId="29CED536">
            <wp:extent cx="4392930" cy="1403350"/>
            <wp:effectExtent l="0" t="0" r="7620" b="6350"/>
            <wp:docPr id="1957996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996214" name=""/>
                    <pic:cNvPicPr/>
                  </pic:nvPicPr>
                  <pic:blipFill>
                    <a:blip r:embed="rId31"/>
                    <a:stretch>
                      <a:fillRect/>
                    </a:stretch>
                  </pic:blipFill>
                  <pic:spPr>
                    <a:xfrm>
                      <a:off x="0" y="0"/>
                      <a:ext cx="4392930" cy="1403350"/>
                    </a:xfrm>
                    <a:prstGeom prst="rect">
                      <a:avLst/>
                    </a:prstGeom>
                  </pic:spPr>
                </pic:pic>
              </a:graphicData>
            </a:graphic>
          </wp:inline>
        </w:drawing>
      </w:r>
    </w:p>
    <w:p w14:paraId="38D0C4D6" w14:textId="370DCC78" w:rsidR="00295C2A" w:rsidRDefault="00D401D3" w:rsidP="00771782">
      <w:r w:rsidRPr="00D401D3">
        <w:rPr>
          <w:noProof/>
        </w:rPr>
        <w:drawing>
          <wp:inline distT="0" distB="0" distL="0" distR="0" wp14:anchorId="2769EAD7" wp14:editId="740C0AD8">
            <wp:extent cx="4392930" cy="1464310"/>
            <wp:effectExtent l="0" t="0" r="7620" b="2540"/>
            <wp:docPr id="19691572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57218" name=""/>
                    <pic:cNvPicPr/>
                  </pic:nvPicPr>
                  <pic:blipFill>
                    <a:blip r:embed="rId32"/>
                    <a:stretch>
                      <a:fillRect/>
                    </a:stretch>
                  </pic:blipFill>
                  <pic:spPr>
                    <a:xfrm>
                      <a:off x="0" y="0"/>
                      <a:ext cx="4392930" cy="1464310"/>
                    </a:xfrm>
                    <a:prstGeom prst="rect">
                      <a:avLst/>
                    </a:prstGeom>
                  </pic:spPr>
                </pic:pic>
              </a:graphicData>
            </a:graphic>
          </wp:inline>
        </w:drawing>
      </w:r>
    </w:p>
    <w:p w14:paraId="5B65571D" w14:textId="37F7E7B8" w:rsidR="00D401D3" w:rsidRDefault="00BC0742" w:rsidP="009B5725">
      <w:pPr>
        <w:ind w:firstLine="0"/>
        <w:jc w:val="left"/>
        <w:rPr>
          <w:sz w:val="18"/>
          <w:szCs w:val="18"/>
        </w:rPr>
      </w:pPr>
      <w:r w:rsidRPr="009B5725">
        <w:rPr>
          <w:b/>
          <w:bCs/>
          <w:sz w:val="18"/>
        </w:rPr>
        <w:t xml:space="preserve">Fig. </w:t>
      </w:r>
      <w:r w:rsidR="00D401D3" w:rsidRPr="009B5725">
        <w:rPr>
          <w:b/>
          <w:bCs/>
          <w:sz w:val="18"/>
        </w:rPr>
        <w:t xml:space="preserve"> 1</w:t>
      </w:r>
      <w:r w:rsidR="00DC0B53">
        <w:rPr>
          <w:b/>
          <w:bCs/>
          <w:sz w:val="18"/>
        </w:rPr>
        <w:t>4</w:t>
      </w:r>
      <w:r w:rsidR="009B5725" w:rsidRPr="009B5725">
        <w:rPr>
          <w:b/>
          <w:bCs/>
          <w:sz w:val="18"/>
        </w:rPr>
        <w:t>.</w:t>
      </w:r>
      <w:r w:rsidR="00D401D3">
        <w:rPr>
          <w:sz w:val="18"/>
        </w:rPr>
        <w:t xml:space="preserve"> </w:t>
      </w:r>
      <w:r w:rsidR="00D401D3" w:rsidRPr="003D73B7">
        <w:rPr>
          <w:sz w:val="18"/>
          <w:szCs w:val="18"/>
        </w:rPr>
        <w:t>Data</w:t>
      </w:r>
      <w:r w:rsidR="00D401D3" w:rsidRPr="003D73B7">
        <w:rPr>
          <w:spacing w:val="42"/>
          <w:sz w:val="18"/>
          <w:szCs w:val="18"/>
        </w:rPr>
        <w:t xml:space="preserve"> </w:t>
      </w:r>
      <w:r w:rsidR="00D401D3" w:rsidRPr="003D73B7">
        <w:rPr>
          <w:sz w:val="18"/>
          <w:szCs w:val="18"/>
        </w:rPr>
        <w:t>recorded</w:t>
      </w:r>
      <w:r w:rsidR="00D401D3" w:rsidRPr="003D73B7">
        <w:rPr>
          <w:spacing w:val="43"/>
          <w:sz w:val="18"/>
          <w:szCs w:val="18"/>
        </w:rPr>
        <w:t xml:space="preserve"> </w:t>
      </w:r>
      <w:r w:rsidR="00D401D3" w:rsidRPr="003D73B7">
        <w:rPr>
          <w:sz w:val="18"/>
          <w:szCs w:val="18"/>
        </w:rPr>
        <w:t>by</w:t>
      </w:r>
      <w:r w:rsidR="00D401D3" w:rsidRPr="003D73B7">
        <w:rPr>
          <w:spacing w:val="43"/>
          <w:sz w:val="18"/>
          <w:szCs w:val="18"/>
        </w:rPr>
        <w:t xml:space="preserve"> </w:t>
      </w:r>
      <w:r w:rsidR="00D401D3" w:rsidRPr="003D73B7">
        <w:rPr>
          <w:sz w:val="18"/>
          <w:szCs w:val="18"/>
        </w:rPr>
        <w:t>IR</w:t>
      </w:r>
      <w:r w:rsidR="00D401D3" w:rsidRPr="003D73B7">
        <w:rPr>
          <w:spacing w:val="45"/>
          <w:sz w:val="18"/>
          <w:szCs w:val="18"/>
        </w:rPr>
        <w:t xml:space="preserve"> </w:t>
      </w:r>
      <w:r w:rsidR="00D401D3" w:rsidRPr="003D73B7">
        <w:rPr>
          <w:sz w:val="18"/>
          <w:szCs w:val="18"/>
        </w:rPr>
        <w:t>sensors</w:t>
      </w:r>
      <w:r w:rsidR="00D401D3" w:rsidRPr="003D73B7">
        <w:rPr>
          <w:spacing w:val="43"/>
          <w:sz w:val="18"/>
          <w:szCs w:val="18"/>
        </w:rPr>
        <w:t xml:space="preserve"> </w:t>
      </w:r>
      <w:r w:rsidR="00D401D3" w:rsidRPr="003D73B7">
        <w:rPr>
          <w:sz w:val="18"/>
          <w:szCs w:val="18"/>
        </w:rPr>
        <w:t>in</w:t>
      </w:r>
      <w:r w:rsidR="00D401D3" w:rsidRPr="003D73B7">
        <w:rPr>
          <w:spacing w:val="43"/>
          <w:sz w:val="18"/>
          <w:szCs w:val="18"/>
        </w:rPr>
        <w:t xml:space="preserve"> </w:t>
      </w:r>
      <w:r w:rsidR="00D401D3">
        <w:rPr>
          <w:sz w:val="18"/>
          <w:szCs w:val="18"/>
        </w:rPr>
        <w:t>3</w:t>
      </w:r>
      <w:r w:rsidR="00D401D3" w:rsidRPr="00004FB4">
        <w:rPr>
          <w:sz w:val="18"/>
          <w:szCs w:val="18"/>
          <w:vertAlign w:val="superscript"/>
        </w:rPr>
        <w:t>rd</w:t>
      </w:r>
      <w:r w:rsidR="00D401D3">
        <w:rPr>
          <w:sz w:val="18"/>
          <w:szCs w:val="18"/>
        </w:rPr>
        <w:t xml:space="preserve"> </w:t>
      </w:r>
      <w:r w:rsidR="00D401D3" w:rsidRPr="003D73B7">
        <w:rPr>
          <w:sz w:val="18"/>
          <w:szCs w:val="18"/>
        </w:rPr>
        <w:t>loading</w:t>
      </w:r>
      <w:r w:rsidR="00D401D3" w:rsidRPr="003D73B7">
        <w:rPr>
          <w:spacing w:val="44"/>
          <w:sz w:val="18"/>
          <w:szCs w:val="18"/>
        </w:rPr>
        <w:t xml:space="preserve"> </w:t>
      </w:r>
      <w:r w:rsidR="00D401D3" w:rsidRPr="003D73B7">
        <w:rPr>
          <w:sz w:val="18"/>
          <w:szCs w:val="18"/>
        </w:rPr>
        <w:t>step</w:t>
      </w:r>
      <w:r w:rsidR="00D401D3" w:rsidRPr="003D73B7">
        <w:rPr>
          <w:spacing w:val="43"/>
          <w:sz w:val="18"/>
          <w:szCs w:val="18"/>
        </w:rPr>
        <w:t xml:space="preserve"> </w:t>
      </w:r>
      <w:r w:rsidR="00D401D3" w:rsidRPr="003D73B7">
        <w:rPr>
          <w:sz w:val="18"/>
          <w:szCs w:val="18"/>
        </w:rPr>
        <w:t>along</w:t>
      </w:r>
      <w:r w:rsidR="00D401D3" w:rsidRPr="003D73B7">
        <w:rPr>
          <w:spacing w:val="43"/>
          <w:sz w:val="18"/>
          <w:szCs w:val="18"/>
        </w:rPr>
        <w:t xml:space="preserve"> </w:t>
      </w:r>
      <w:r w:rsidR="00D401D3" w:rsidRPr="003D73B7">
        <w:rPr>
          <w:sz w:val="18"/>
          <w:szCs w:val="18"/>
        </w:rPr>
        <w:t>with</w:t>
      </w:r>
      <w:r w:rsidR="00D401D3" w:rsidRPr="003D73B7">
        <w:rPr>
          <w:spacing w:val="43"/>
          <w:sz w:val="18"/>
          <w:szCs w:val="18"/>
        </w:rPr>
        <w:t xml:space="preserve"> </w:t>
      </w:r>
      <w:r w:rsidR="00D401D3" w:rsidRPr="003D73B7">
        <w:rPr>
          <w:sz w:val="18"/>
          <w:szCs w:val="18"/>
        </w:rPr>
        <w:t>their</w:t>
      </w:r>
      <w:r w:rsidR="009B5725">
        <w:rPr>
          <w:sz w:val="18"/>
          <w:szCs w:val="18"/>
        </w:rPr>
        <w:t xml:space="preserve"> </w:t>
      </w:r>
      <w:proofErr w:type="gramStart"/>
      <w:r w:rsidR="00D401D3" w:rsidRPr="003D73B7">
        <w:rPr>
          <w:sz w:val="18"/>
          <w:szCs w:val="18"/>
        </w:rPr>
        <w:t xml:space="preserve">Fourier </w:t>
      </w:r>
      <w:r w:rsidR="00D401D3" w:rsidRPr="003D73B7">
        <w:rPr>
          <w:spacing w:val="-57"/>
          <w:sz w:val="18"/>
          <w:szCs w:val="18"/>
        </w:rPr>
        <w:t xml:space="preserve"> </w:t>
      </w:r>
      <w:r w:rsidR="00D401D3" w:rsidRPr="003D73B7">
        <w:rPr>
          <w:sz w:val="18"/>
          <w:szCs w:val="18"/>
        </w:rPr>
        <w:t>transform</w:t>
      </w:r>
      <w:proofErr w:type="gramEnd"/>
    </w:p>
    <w:p w14:paraId="030F14E9" w14:textId="77777777" w:rsidR="00D401D3" w:rsidRDefault="00D401D3" w:rsidP="00D401D3">
      <w:pPr>
        <w:ind w:firstLine="0"/>
        <w:jc w:val="center"/>
        <w:rPr>
          <w:sz w:val="18"/>
          <w:szCs w:val="18"/>
        </w:rPr>
      </w:pPr>
    </w:p>
    <w:p w14:paraId="2C73F45B" w14:textId="0ADA08AB" w:rsidR="00D401D3" w:rsidRDefault="00D401D3" w:rsidP="00D401D3">
      <w:pPr>
        <w:ind w:firstLine="0"/>
        <w:jc w:val="center"/>
        <w:rPr>
          <w:sz w:val="18"/>
          <w:szCs w:val="18"/>
        </w:rPr>
      </w:pPr>
      <w:r w:rsidRPr="00D401D3">
        <w:rPr>
          <w:noProof/>
          <w:sz w:val="18"/>
          <w:szCs w:val="18"/>
        </w:rPr>
        <w:lastRenderedPageBreak/>
        <w:drawing>
          <wp:inline distT="0" distB="0" distL="0" distR="0" wp14:anchorId="698B4EB4" wp14:editId="01D10CB5">
            <wp:extent cx="4392930" cy="1412240"/>
            <wp:effectExtent l="0" t="0" r="7620" b="0"/>
            <wp:docPr id="508014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014120" name=""/>
                    <pic:cNvPicPr/>
                  </pic:nvPicPr>
                  <pic:blipFill>
                    <a:blip r:embed="rId33"/>
                    <a:stretch>
                      <a:fillRect/>
                    </a:stretch>
                  </pic:blipFill>
                  <pic:spPr>
                    <a:xfrm>
                      <a:off x="0" y="0"/>
                      <a:ext cx="4392930" cy="1412240"/>
                    </a:xfrm>
                    <a:prstGeom prst="rect">
                      <a:avLst/>
                    </a:prstGeom>
                  </pic:spPr>
                </pic:pic>
              </a:graphicData>
            </a:graphic>
          </wp:inline>
        </w:drawing>
      </w:r>
    </w:p>
    <w:p w14:paraId="515E1C1E" w14:textId="13C86870" w:rsidR="00D401D3" w:rsidRDefault="00D401D3" w:rsidP="00D401D3">
      <w:pPr>
        <w:ind w:firstLine="0"/>
        <w:jc w:val="center"/>
        <w:rPr>
          <w:sz w:val="18"/>
          <w:szCs w:val="18"/>
        </w:rPr>
      </w:pPr>
      <w:r w:rsidRPr="00D401D3">
        <w:rPr>
          <w:noProof/>
          <w:sz w:val="18"/>
          <w:szCs w:val="18"/>
        </w:rPr>
        <w:drawing>
          <wp:inline distT="0" distB="0" distL="0" distR="0" wp14:anchorId="0A5B443E" wp14:editId="5E24B26E">
            <wp:extent cx="4392930" cy="1425575"/>
            <wp:effectExtent l="0" t="0" r="7620" b="3175"/>
            <wp:docPr id="417516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516047" name=""/>
                    <pic:cNvPicPr/>
                  </pic:nvPicPr>
                  <pic:blipFill>
                    <a:blip r:embed="rId34"/>
                    <a:stretch>
                      <a:fillRect/>
                    </a:stretch>
                  </pic:blipFill>
                  <pic:spPr>
                    <a:xfrm>
                      <a:off x="0" y="0"/>
                      <a:ext cx="4392930" cy="1425575"/>
                    </a:xfrm>
                    <a:prstGeom prst="rect">
                      <a:avLst/>
                    </a:prstGeom>
                  </pic:spPr>
                </pic:pic>
              </a:graphicData>
            </a:graphic>
          </wp:inline>
        </w:drawing>
      </w:r>
    </w:p>
    <w:p w14:paraId="7E2F9886" w14:textId="678DFAF5" w:rsidR="00D401D3" w:rsidRDefault="00D401D3" w:rsidP="00D401D3">
      <w:pPr>
        <w:ind w:firstLine="0"/>
        <w:jc w:val="center"/>
        <w:rPr>
          <w:sz w:val="18"/>
          <w:szCs w:val="18"/>
        </w:rPr>
      </w:pPr>
      <w:r w:rsidRPr="00D401D3">
        <w:rPr>
          <w:noProof/>
          <w:sz w:val="18"/>
          <w:szCs w:val="18"/>
        </w:rPr>
        <w:drawing>
          <wp:inline distT="0" distB="0" distL="0" distR="0" wp14:anchorId="4CE1835D" wp14:editId="56C81E2F">
            <wp:extent cx="4392930" cy="1421765"/>
            <wp:effectExtent l="0" t="0" r="7620" b="6985"/>
            <wp:docPr id="966155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155590" name=""/>
                    <pic:cNvPicPr/>
                  </pic:nvPicPr>
                  <pic:blipFill>
                    <a:blip r:embed="rId35"/>
                    <a:stretch>
                      <a:fillRect/>
                    </a:stretch>
                  </pic:blipFill>
                  <pic:spPr>
                    <a:xfrm>
                      <a:off x="0" y="0"/>
                      <a:ext cx="4392930" cy="1421765"/>
                    </a:xfrm>
                    <a:prstGeom prst="rect">
                      <a:avLst/>
                    </a:prstGeom>
                  </pic:spPr>
                </pic:pic>
              </a:graphicData>
            </a:graphic>
          </wp:inline>
        </w:drawing>
      </w:r>
    </w:p>
    <w:p w14:paraId="1FD81107" w14:textId="47AEF606" w:rsidR="00D401D3" w:rsidRDefault="00BC0742" w:rsidP="009B5725">
      <w:pPr>
        <w:ind w:firstLine="0"/>
        <w:jc w:val="left"/>
        <w:rPr>
          <w:sz w:val="18"/>
          <w:szCs w:val="18"/>
        </w:rPr>
      </w:pPr>
      <w:r w:rsidRPr="009B5725">
        <w:rPr>
          <w:b/>
          <w:bCs/>
          <w:sz w:val="18"/>
        </w:rPr>
        <w:t xml:space="preserve">Fig. </w:t>
      </w:r>
      <w:r w:rsidR="00D401D3" w:rsidRPr="009B5725">
        <w:rPr>
          <w:b/>
          <w:bCs/>
          <w:sz w:val="18"/>
        </w:rPr>
        <w:t xml:space="preserve"> 1</w:t>
      </w:r>
      <w:r w:rsidR="00DC0B53">
        <w:rPr>
          <w:b/>
          <w:bCs/>
          <w:sz w:val="18"/>
        </w:rPr>
        <w:t>5</w:t>
      </w:r>
      <w:r w:rsidR="009B5725" w:rsidRPr="009B5725">
        <w:rPr>
          <w:b/>
          <w:bCs/>
          <w:sz w:val="18"/>
        </w:rPr>
        <w:t>.</w:t>
      </w:r>
      <w:r w:rsidR="00D401D3">
        <w:rPr>
          <w:sz w:val="18"/>
        </w:rPr>
        <w:t xml:space="preserve"> </w:t>
      </w:r>
      <w:r w:rsidR="00D401D3" w:rsidRPr="003D73B7">
        <w:rPr>
          <w:sz w:val="18"/>
          <w:szCs w:val="18"/>
        </w:rPr>
        <w:t>Data</w:t>
      </w:r>
      <w:r w:rsidR="00D401D3" w:rsidRPr="003D73B7">
        <w:rPr>
          <w:spacing w:val="42"/>
          <w:sz w:val="18"/>
          <w:szCs w:val="18"/>
        </w:rPr>
        <w:t xml:space="preserve"> </w:t>
      </w:r>
      <w:r w:rsidR="00D401D3" w:rsidRPr="003D73B7">
        <w:rPr>
          <w:sz w:val="18"/>
          <w:szCs w:val="18"/>
        </w:rPr>
        <w:t>recorded</w:t>
      </w:r>
      <w:r w:rsidR="00D401D3" w:rsidRPr="003D73B7">
        <w:rPr>
          <w:spacing w:val="43"/>
          <w:sz w:val="18"/>
          <w:szCs w:val="18"/>
        </w:rPr>
        <w:t xml:space="preserve"> </w:t>
      </w:r>
      <w:r w:rsidR="00D401D3" w:rsidRPr="003D73B7">
        <w:rPr>
          <w:sz w:val="18"/>
          <w:szCs w:val="18"/>
        </w:rPr>
        <w:t>by</w:t>
      </w:r>
      <w:r w:rsidR="00D401D3" w:rsidRPr="003D73B7">
        <w:rPr>
          <w:spacing w:val="43"/>
          <w:sz w:val="18"/>
          <w:szCs w:val="18"/>
        </w:rPr>
        <w:t xml:space="preserve"> </w:t>
      </w:r>
      <w:r w:rsidR="00D401D3" w:rsidRPr="003D73B7">
        <w:rPr>
          <w:sz w:val="18"/>
          <w:szCs w:val="18"/>
        </w:rPr>
        <w:t>IR</w:t>
      </w:r>
      <w:r w:rsidR="00D401D3" w:rsidRPr="003D73B7">
        <w:rPr>
          <w:spacing w:val="45"/>
          <w:sz w:val="18"/>
          <w:szCs w:val="18"/>
        </w:rPr>
        <w:t xml:space="preserve"> </w:t>
      </w:r>
      <w:r w:rsidR="00D401D3" w:rsidRPr="003D73B7">
        <w:rPr>
          <w:sz w:val="18"/>
          <w:szCs w:val="18"/>
        </w:rPr>
        <w:t>sensors</w:t>
      </w:r>
      <w:r w:rsidR="00D401D3" w:rsidRPr="003D73B7">
        <w:rPr>
          <w:spacing w:val="43"/>
          <w:sz w:val="18"/>
          <w:szCs w:val="18"/>
        </w:rPr>
        <w:t xml:space="preserve"> </w:t>
      </w:r>
      <w:r w:rsidR="00D401D3" w:rsidRPr="003D73B7">
        <w:rPr>
          <w:sz w:val="18"/>
          <w:szCs w:val="18"/>
        </w:rPr>
        <w:t>in</w:t>
      </w:r>
      <w:r w:rsidR="00D401D3" w:rsidRPr="003D73B7">
        <w:rPr>
          <w:spacing w:val="43"/>
          <w:sz w:val="18"/>
          <w:szCs w:val="18"/>
        </w:rPr>
        <w:t xml:space="preserve"> </w:t>
      </w:r>
      <w:r w:rsidR="00D401D3">
        <w:rPr>
          <w:sz w:val="18"/>
          <w:szCs w:val="18"/>
        </w:rPr>
        <w:t>4</w:t>
      </w:r>
      <w:r w:rsidR="00D401D3" w:rsidRPr="00004FB4">
        <w:rPr>
          <w:sz w:val="18"/>
          <w:szCs w:val="18"/>
          <w:vertAlign w:val="superscript"/>
        </w:rPr>
        <w:t>th</w:t>
      </w:r>
      <w:r w:rsidR="00D401D3">
        <w:rPr>
          <w:sz w:val="18"/>
          <w:szCs w:val="18"/>
        </w:rPr>
        <w:t xml:space="preserve"> </w:t>
      </w:r>
      <w:r w:rsidR="00D401D3" w:rsidRPr="003D73B7">
        <w:rPr>
          <w:sz w:val="18"/>
          <w:szCs w:val="18"/>
        </w:rPr>
        <w:t>loading</w:t>
      </w:r>
      <w:r w:rsidR="00D401D3" w:rsidRPr="003D73B7">
        <w:rPr>
          <w:spacing w:val="44"/>
          <w:sz w:val="18"/>
          <w:szCs w:val="18"/>
        </w:rPr>
        <w:t xml:space="preserve"> </w:t>
      </w:r>
      <w:r w:rsidR="00D401D3" w:rsidRPr="003D73B7">
        <w:rPr>
          <w:sz w:val="18"/>
          <w:szCs w:val="18"/>
        </w:rPr>
        <w:t>step</w:t>
      </w:r>
      <w:r w:rsidR="00D401D3" w:rsidRPr="003D73B7">
        <w:rPr>
          <w:spacing w:val="43"/>
          <w:sz w:val="18"/>
          <w:szCs w:val="18"/>
        </w:rPr>
        <w:t xml:space="preserve"> </w:t>
      </w:r>
      <w:r w:rsidR="00D401D3" w:rsidRPr="003D73B7">
        <w:rPr>
          <w:sz w:val="18"/>
          <w:szCs w:val="18"/>
        </w:rPr>
        <w:t>along</w:t>
      </w:r>
      <w:r w:rsidR="00D401D3" w:rsidRPr="003D73B7">
        <w:rPr>
          <w:spacing w:val="43"/>
          <w:sz w:val="18"/>
          <w:szCs w:val="18"/>
        </w:rPr>
        <w:t xml:space="preserve"> </w:t>
      </w:r>
      <w:r w:rsidR="00D401D3" w:rsidRPr="003D73B7">
        <w:rPr>
          <w:sz w:val="18"/>
          <w:szCs w:val="18"/>
        </w:rPr>
        <w:t>with</w:t>
      </w:r>
      <w:r w:rsidR="00D401D3" w:rsidRPr="003D73B7">
        <w:rPr>
          <w:spacing w:val="43"/>
          <w:sz w:val="18"/>
          <w:szCs w:val="18"/>
        </w:rPr>
        <w:t xml:space="preserve"> </w:t>
      </w:r>
      <w:r w:rsidR="00D401D3" w:rsidRPr="003D73B7">
        <w:rPr>
          <w:sz w:val="18"/>
          <w:szCs w:val="18"/>
        </w:rPr>
        <w:t>their</w:t>
      </w:r>
      <w:r w:rsidR="009B5725">
        <w:rPr>
          <w:sz w:val="18"/>
          <w:szCs w:val="18"/>
        </w:rPr>
        <w:t xml:space="preserve"> </w:t>
      </w:r>
      <w:proofErr w:type="gramStart"/>
      <w:r w:rsidR="00D401D3" w:rsidRPr="003D73B7">
        <w:rPr>
          <w:sz w:val="18"/>
          <w:szCs w:val="18"/>
        </w:rPr>
        <w:t xml:space="preserve">Fourier </w:t>
      </w:r>
      <w:r w:rsidR="00D401D3" w:rsidRPr="003D73B7">
        <w:rPr>
          <w:spacing w:val="-57"/>
          <w:sz w:val="18"/>
          <w:szCs w:val="18"/>
        </w:rPr>
        <w:t xml:space="preserve"> </w:t>
      </w:r>
      <w:r w:rsidR="00D401D3" w:rsidRPr="003D73B7">
        <w:rPr>
          <w:sz w:val="18"/>
          <w:szCs w:val="18"/>
        </w:rPr>
        <w:t>transform</w:t>
      </w:r>
      <w:proofErr w:type="gramEnd"/>
    </w:p>
    <w:p w14:paraId="232CBC30" w14:textId="77777777" w:rsidR="00D401D3" w:rsidRDefault="00D401D3" w:rsidP="00D401D3">
      <w:pPr>
        <w:ind w:firstLine="0"/>
        <w:jc w:val="center"/>
        <w:rPr>
          <w:sz w:val="18"/>
          <w:szCs w:val="18"/>
        </w:rPr>
      </w:pPr>
    </w:p>
    <w:p w14:paraId="5EBD362E" w14:textId="20D0D166" w:rsidR="00F668A4" w:rsidRDefault="00F668A4" w:rsidP="00E05C4B">
      <w:pPr>
        <w:pStyle w:val="p1a"/>
        <w:ind w:firstLine="227"/>
      </w:pPr>
      <w:r>
        <w:t xml:space="preserve">The vibration amplitudes of conventional support system at the </w:t>
      </w:r>
      <w:proofErr w:type="gramStart"/>
      <w:r>
        <w:t>third-floor</w:t>
      </w:r>
      <w:proofErr w:type="gramEnd"/>
      <w:r>
        <w:t xml:space="preserve"> increase</w:t>
      </w:r>
      <w:r w:rsidR="00E05C4B">
        <w:t>d</w:t>
      </w:r>
      <w:r>
        <w:t xml:space="preserve"> by an order of magnitude after the loss of support at one end while the braced system response remain</w:t>
      </w:r>
      <w:r w:rsidR="00E05C4B">
        <w:t>ed</w:t>
      </w:r>
      <w:r>
        <w:t xml:space="preserve"> under reasonable limits. </w:t>
      </w:r>
    </w:p>
    <w:p w14:paraId="3C76A454" w14:textId="5EE00B61" w:rsidR="00F668A4" w:rsidRDefault="00F668A4" w:rsidP="00E05C4B">
      <w:pPr>
        <w:pStyle w:val="p1a"/>
        <w:ind w:firstLine="227"/>
      </w:pPr>
      <w:r>
        <w:t>Floor</w:t>
      </w:r>
      <w:r w:rsidRPr="00004FB4">
        <w:t xml:space="preserve"> </w:t>
      </w:r>
      <w:r>
        <w:t>acceleration</w:t>
      </w:r>
      <w:r w:rsidRPr="00004FB4">
        <w:t xml:space="preserve"> </w:t>
      </w:r>
      <w:r>
        <w:t>was recorded</w:t>
      </w:r>
      <w:r w:rsidRPr="00004FB4">
        <w:t xml:space="preserve"> </w:t>
      </w:r>
      <w:r>
        <w:t>with</w:t>
      </w:r>
      <w:r w:rsidRPr="00004FB4">
        <w:t xml:space="preserve"> </w:t>
      </w:r>
      <w:r>
        <w:t>the</w:t>
      </w:r>
      <w:r w:rsidRPr="00004FB4">
        <w:t xml:space="preserve"> </w:t>
      </w:r>
      <w:r>
        <w:t>help</w:t>
      </w:r>
      <w:r w:rsidRPr="00004FB4">
        <w:t xml:space="preserve"> </w:t>
      </w:r>
      <w:r>
        <w:t>of</w:t>
      </w:r>
      <w:r w:rsidRPr="00004FB4">
        <w:t xml:space="preserve"> </w:t>
      </w:r>
      <w:r>
        <w:t>the</w:t>
      </w:r>
      <w:r w:rsidRPr="00004FB4">
        <w:t xml:space="preserve"> </w:t>
      </w:r>
      <w:r>
        <w:t>accelerometers</w:t>
      </w:r>
      <w:r w:rsidRPr="00004FB4">
        <w:t xml:space="preserve"> </w:t>
      </w:r>
      <w:r>
        <w:t>installed</w:t>
      </w:r>
      <w:r w:rsidRPr="00004FB4">
        <w:t xml:space="preserve"> </w:t>
      </w:r>
      <w:r>
        <w:t>at</w:t>
      </w:r>
      <w:r w:rsidRPr="00004FB4">
        <w:t xml:space="preserve"> </w:t>
      </w:r>
      <w:r>
        <w:t>the</w:t>
      </w:r>
      <w:r w:rsidRPr="00004FB4">
        <w:t xml:space="preserve"> </w:t>
      </w:r>
      <w:r>
        <w:t>top</w:t>
      </w:r>
      <w:r w:rsidRPr="00004FB4">
        <w:t xml:space="preserve"> </w:t>
      </w:r>
      <w:r>
        <w:t>of</w:t>
      </w:r>
      <w:r w:rsidRPr="00004FB4">
        <w:t xml:space="preserve"> </w:t>
      </w:r>
      <w:r>
        <w:t>each</w:t>
      </w:r>
      <w:r w:rsidRPr="00004FB4">
        <w:t xml:space="preserve"> </w:t>
      </w:r>
      <w:r>
        <w:t>steel</w:t>
      </w:r>
      <w:r w:rsidRPr="00004FB4">
        <w:t xml:space="preserve"> </w:t>
      </w:r>
      <w:r>
        <w:t>frames</w:t>
      </w:r>
      <w:r w:rsidRPr="00004FB4">
        <w:t xml:space="preserve"> </w:t>
      </w:r>
      <w:r>
        <w:t>slab</w:t>
      </w:r>
      <w:r w:rsidRPr="00004FB4">
        <w:t xml:space="preserve"> </w:t>
      </w:r>
      <w:r>
        <w:t>as</w:t>
      </w:r>
      <w:r w:rsidRPr="00004FB4">
        <w:t xml:space="preserve"> </w:t>
      </w:r>
      <w:r>
        <w:t>shown</w:t>
      </w:r>
      <w:r w:rsidRPr="00004FB4">
        <w:t xml:space="preserve"> </w:t>
      </w:r>
      <w:r>
        <w:t>in</w:t>
      </w:r>
      <w:r w:rsidRPr="00004FB4">
        <w:t xml:space="preserve"> </w:t>
      </w:r>
      <w:r w:rsidR="00BC0742">
        <w:t xml:space="preserve">Fig. </w:t>
      </w:r>
      <w:r w:rsidRPr="00004FB4">
        <w:t xml:space="preserve"> </w:t>
      </w:r>
      <w:r>
        <w:t>1</w:t>
      </w:r>
      <w:r w:rsidR="00E05C4B">
        <w:t>6</w:t>
      </w:r>
      <w:r>
        <w:t>.</w:t>
      </w:r>
      <w:r w:rsidRPr="00004FB4">
        <w:t xml:space="preserve"> </w:t>
      </w:r>
      <w:r>
        <w:t>It</w:t>
      </w:r>
      <w:r w:rsidRPr="00004FB4">
        <w:t xml:space="preserve"> </w:t>
      </w:r>
      <w:r>
        <w:t>was</w:t>
      </w:r>
      <w:r w:rsidRPr="00004FB4">
        <w:t xml:space="preserve"> </w:t>
      </w:r>
      <w:r>
        <w:t>able</w:t>
      </w:r>
      <w:r w:rsidRPr="00004FB4">
        <w:t xml:space="preserve"> to </w:t>
      </w:r>
      <w:r>
        <w:t>record</w:t>
      </w:r>
      <w:r w:rsidRPr="00004FB4">
        <w:t xml:space="preserve"> </w:t>
      </w:r>
      <w:r>
        <w:t>total</w:t>
      </w:r>
      <w:r w:rsidRPr="00004FB4">
        <w:t xml:space="preserve"> </w:t>
      </w:r>
      <w:r>
        <w:t>acceleration</w:t>
      </w:r>
      <w:r w:rsidRPr="00004FB4">
        <w:t xml:space="preserve"> </w:t>
      </w:r>
      <w:r>
        <w:t>values in</w:t>
      </w:r>
      <w:r w:rsidRPr="00004FB4">
        <w:t xml:space="preserve"> m/s2 experienced by </w:t>
      </w:r>
      <w:r>
        <w:t>the</w:t>
      </w:r>
      <w:r w:rsidRPr="00004FB4">
        <w:t xml:space="preserve"> </w:t>
      </w:r>
      <w:r>
        <w:t>steel</w:t>
      </w:r>
      <w:r w:rsidRPr="00004FB4">
        <w:t xml:space="preserve"> </w:t>
      </w:r>
      <w:r>
        <w:t>frame</w:t>
      </w:r>
      <w:r w:rsidRPr="00004FB4">
        <w:t xml:space="preserve"> </w:t>
      </w:r>
      <w:r>
        <w:t>at</w:t>
      </w:r>
      <w:r w:rsidRPr="00004FB4">
        <w:t xml:space="preserve"> </w:t>
      </w:r>
      <w:r>
        <w:t>the</w:t>
      </w:r>
      <w:r w:rsidRPr="00004FB4">
        <w:t xml:space="preserve"> </w:t>
      </w:r>
      <w:r>
        <w:t>floor</w:t>
      </w:r>
      <w:r w:rsidRPr="00004FB4">
        <w:t xml:space="preserve"> </w:t>
      </w:r>
      <w:r>
        <w:t>level.</w:t>
      </w:r>
      <w:r w:rsidRPr="00004FB4">
        <w:t xml:space="preserve"> </w:t>
      </w:r>
      <w:r>
        <w:t>Data</w:t>
      </w:r>
      <w:r w:rsidRPr="00004FB4">
        <w:t xml:space="preserve"> </w:t>
      </w:r>
      <w:r>
        <w:t>recorded</w:t>
      </w:r>
      <w:r w:rsidRPr="00004FB4">
        <w:t xml:space="preserve"> </w:t>
      </w:r>
      <w:r>
        <w:t>by</w:t>
      </w:r>
      <w:r w:rsidRPr="00004FB4">
        <w:t xml:space="preserve"> </w:t>
      </w:r>
      <w:r>
        <w:t>accelerometers</w:t>
      </w:r>
      <w:r w:rsidRPr="00004FB4">
        <w:t xml:space="preserve"> </w:t>
      </w:r>
      <w:r>
        <w:t>located at the top and</w:t>
      </w:r>
      <w:r w:rsidRPr="00004FB4">
        <w:t xml:space="preserve"> </w:t>
      </w:r>
      <w:r>
        <w:t>2</w:t>
      </w:r>
      <w:r w:rsidRPr="00004FB4">
        <w:t xml:space="preserve">nd </w:t>
      </w:r>
      <w:r>
        <w:t>floor</w:t>
      </w:r>
      <w:r w:rsidRPr="00004FB4">
        <w:t xml:space="preserve"> </w:t>
      </w:r>
      <w:r>
        <w:t>along with</w:t>
      </w:r>
      <w:r w:rsidRPr="00004FB4">
        <w:t xml:space="preserve"> </w:t>
      </w:r>
      <w:r>
        <w:t>FFT</w:t>
      </w:r>
      <w:r w:rsidRPr="00004FB4">
        <w:t xml:space="preserve"> </w:t>
      </w:r>
      <w:r w:rsidR="00E05C4B">
        <w:t>is</w:t>
      </w:r>
      <w:r w:rsidRPr="00004FB4">
        <w:t xml:space="preserve"> </w:t>
      </w:r>
      <w:r>
        <w:t>shown</w:t>
      </w:r>
      <w:r w:rsidRPr="00004FB4">
        <w:t xml:space="preserve"> </w:t>
      </w:r>
      <w:r>
        <w:t>in</w:t>
      </w:r>
      <w:r w:rsidRPr="00004FB4">
        <w:t xml:space="preserve"> </w:t>
      </w:r>
      <w:r>
        <w:t>Fig. 1</w:t>
      </w:r>
      <w:r w:rsidR="00E05C4B">
        <w:t>6</w:t>
      </w:r>
      <w:r w:rsidRPr="00004FB4">
        <w:t xml:space="preserve"> </w:t>
      </w:r>
      <w:r>
        <w:t>and</w:t>
      </w:r>
      <w:r w:rsidRPr="00004FB4">
        <w:t xml:space="preserve"> </w:t>
      </w:r>
      <w:r>
        <w:t>1</w:t>
      </w:r>
      <w:r w:rsidR="00E05C4B">
        <w:t>7</w:t>
      </w:r>
      <w:r>
        <w:t xml:space="preserve"> respectively.</w:t>
      </w:r>
      <w:r w:rsidRPr="00004FB4">
        <w:t xml:space="preserve"> </w:t>
      </w:r>
      <w:r>
        <w:t xml:space="preserve">From loading step number 1 to 4, amplitude of vibration increased in both the accelerometers. In acceleration data a sudden increase in amplitude was observed which </w:t>
      </w:r>
      <w:r w:rsidR="00E05C4B">
        <w:t>may be</w:t>
      </w:r>
      <w:r>
        <w:t xml:space="preserve"> attributed to the jerk experienced by entire test-specimens due to sudden start and stoppage</w:t>
      </w:r>
      <w:r w:rsidRPr="00004FB4">
        <w:t xml:space="preserve"> </w:t>
      </w:r>
      <w:r>
        <w:t>of</w:t>
      </w:r>
      <w:r w:rsidRPr="00004FB4">
        <w:t xml:space="preserve"> </w:t>
      </w:r>
      <w:r>
        <w:t>the</w:t>
      </w:r>
      <w:r w:rsidRPr="00004FB4">
        <w:t xml:space="preserve"> </w:t>
      </w:r>
      <w:r>
        <w:t>shake</w:t>
      </w:r>
      <w:r w:rsidRPr="00004FB4">
        <w:t xml:space="preserve"> </w:t>
      </w:r>
      <w:r>
        <w:t xml:space="preserve">table. </w:t>
      </w:r>
    </w:p>
    <w:p w14:paraId="02AEE9BC" w14:textId="1052BE02" w:rsidR="00F668A4" w:rsidRDefault="009942E7" w:rsidP="00D401D3">
      <w:pPr>
        <w:ind w:firstLine="0"/>
        <w:jc w:val="center"/>
        <w:rPr>
          <w:noProof/>
        </w:rPr>
      </w:pPr>
      <w:r w:rsidRPr="009942E7">
        <w:rPr>
          <w:noProof/>
          <w:sz w:val="18"/>
          <w:szCs w:val="18"/>
        </w:rPr>
        <w:lastRenderedPageBreak/>
        <w:drawing>
          <wp:inline distT="0" distB="0" distL="0" distR="0" wp14:anchorId="3AC3E20A" wp14:editId="65893A88">
            <wp:extent cx="4392930" cy="2655570"/>
            <wp:effectExtent l="0" t="0" r="7620" b="0"/>
            <wp:docPr id="8434005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400537" name=""/>
                    <pic:cNvPicPr/>
                  </pic:nvPicPr>
                  <pic:blipFill>
                    <a:blip r:embed="rId36"/>
                    <a:stretch>
                      <a:fillRect/>
                    </a:stretch>
                  </pic:blipFill>
                  <pic:spPr>
                    <a:xfrm>
                      <a:off x="0" y="0"/>
                      <a:ext cx="4392930" cy="2655570"/>
                    </a:xfrm>
                    <a:prstGeom prst="rect">
                      <a:avLst/>
                    </a:prstGeom>
                  </pic:spPr>
                </pic:pic>
              </a:graphicData>
            </a:graphic>
          </wp:inline>
        </w:drawing>
      </w:r>
      <w:r w:rsidRPr="009942E7">
        <w:rPr>
          <w:noProof/>
        </w:rPr>
        <w:t xml:space="preserve"> </w:t>
      </w:r>
      <w:r w:rsidRPr="009942E7">
        <w:rPr>
          <w:noProof/>
          <w:sz w:val="18"/>
          <w:szCs w:val="18"/>
        </w:rPr>
        <w:drawing>
          <wp:inline distT="0" distB="0" distL="0" distR="0" wp14:anchorId="441EE0D7" wp14:editId="0201CA35">
            <wp:extent cx="4392930" cy="2637790"/>
            <wp:effectExtent l="0" t="0" r="7620" b="0"/>
            <wp:docPr id="1816570337"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570337" name="Picture 1" descr="A screenshot of a graph&#10;&#10;Description automatically generated"/>
                    <pic:cNvPicPr/>
                  </pic:nvPicPr>
                  <pic:blipFill>
                    <a:blip r:embed="rId37"/>
                    <a:stretch>
                      <a:fillRect/>
                    </a:stretch>
                  </pic:blipFill>
                  <pic:spPr>
                    <a:xfrm>
                      <a:off x="0" y="0"/>
                      <a:ext cx="4392930" cy="2637790"/>
                    </a:xfrm>
                    <a:prstGeom prst="rect">
                      <a:avLst/>
                    </a:prstGeom>
                  </pic:spPr>
                </pic:pic>
              </a:graphicData>
            </a:graphic>
          </wp:inline>
        </w:drawing>
      </w:r>
    </w:p>
    <w:p w14:paraId="73726CB6" w14:textId="78137147" w:rsidR="00F70609" w:rsidRPr="00004FB4" w:rsidRDefault="00F70609" w:rsidP="00DC0B53">
      <w:pPr>
        <w:ind w:firstLine="0"/>
        <w:jc w:val="left"/>
        <w:rPr>
          <w:sz w:val="18"/>
          <w:szCs w:val="18"/>
        </w:rPr>
      </w:pPr>
      <w:bookmarkStart w:id="0" w:name="_Toc132057619"/>
      <w:r w:rsidRPr="00DC0B53">
        <w:rPr>
          <w:b/>
          <w:bCs/>
          <w:sz w:val="18"/>
          <w:szCs w:val="18"/>
        </w:rPr>
        <w:t>Fi</w:t>
      </w:r>
      <w:r w:rsidR="00BC0742" w:rsidRPr="00DC0B53">
        <w:rPr>
          <w:b/>
          <w:bCs/>
          <w:sz w:val="18"/>
          <w:szCs w:val="18"/>
        </w:rPr>
        <w:t>g</w:t>
      </w:r>
      <w:r w:rsidRPr="00DC0B53">
        <w:rPr>
          <w:b/>
          <w:bCs/>
          <w:sz w:val="18"/>
          <w:szCs w:val="18"/>
        </w:rPr>
        <w:t xml:space="preserve"> </w:t>
      </w:r>
      <w:r w:rsidR="00DC0B53" w:rsidRPr="00DC0B53">
        <w:rPr>
          <w:b/>
          <w:bCs/>
          <w:sz w:val="18"/>
          <w:szCs w:val="18"/>
        </w:rPr>
        <w:t>.</w:t>
      </w:r>
      <w:r w:rsidRPr="00DC0B53">
        <w:rPr>
          <w:b/>
          <w:bCs/>
          <w:sz w:val="18"/>
          <w:szCs w:val="18"/>
        </w:rPr>
        <w:t>1</w:t>
      </w:r>
      <w:r w:rsidR="00DC0B53">
        <w:rPr>
          <w:b/>
          <w:bCs/>
          <w:sz w:val="18"/>
          <w:szCs w:val="18"/>
        </w:rPr>
        <w:t>6</w:t>
      </w:r>
      <w:r w:rsidRPr="00DC0B53">
        <w:rPr>
          <w:b/>
          <w:bCs/>
          <w:sz w:val="18"/>
          <w:szCs w:val="18"/>
        </w:rPr>
        <w:t>.</w:t>
      </w:r>
      <w:r w:rsidRPr="00004FB4">
        <w:rPr>
          <w:sz w:val="18"/>
          <w:szCs w:val="18"/>
        </w:rPr>
        <w:t xml:space="preserve"> total acceleration record of top floor accelerometer and corresponding FFT plot (a) in loading step 1 (b) loading step 2 (c) loading step 3 (d) loading step 4</w:t>
      </w:r>
      <w:bookmarkEnd w:id="0"/>
    </w:p>
    <w:p w14:paraId="66890864" w14:textId="77777777" w:rsidR="00F70609" w:rsidRDefault="00F70609" w:rsidP="00D401D3">
      <w:pPr>
        <w:ind w:firstLine="0"/>
        <w:jc w:val="center"/>
        <w:rPr>
          <w:sz w:val="18"/>
          <w:szCs w:val="18"/>
        </w:rPr>
      </w:pPr>
    </w:p>
    <w:p w14:paraId="5741A045" w14:textId="35B771F9" w:rsidR="00BC0742" w:rsidRDefault="00BC0742" w:rsidP="00D401D3">
      <w:pPr>
        <w:ind w:firstLine="0"/>
        <w:jc w:val="center"/>
        <w:rPr>
          <w:noProof/>
        </w:rPr>
      </w:pPr>
      <w:r w:rsidRPr="00BC0742">
        <w:rPr>
          <w:noProof/>
          <w:sz w:val="18"/>
          <w:szCs w:val="18"/>
        </w:rPr>
        <w:lastRenderedPageBreak/>
        <w:drawing>
          <wp:inline distT="0" distB="0" distL="0" distR="0" wp14:anchorId="6EC0D35E" wp14:editId="5BFAEFB6">
            <wp:extent cx="4392930" cy="2568575"/>
            <wp:effectExtent l="0" t="0" r="7620" b="3175"/>
            <wp:docPr id="21468758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875838" name=""/>
                    <pic:cNvPicPr/>
                  </pic:nvPicPr>
                  <pic:blipFill>
                    <a:blip r:embed="rId38"/>
                    <a:stretch>
                      <a:fillRect/>
                    </a:stretch>
                  </pic:blipFill>
                  <pic:spPr>
                    <a:xfrm>
                      <a:off x="0" y="0"/>
                      <a:ext cx="4392930" cy="2568575"/>
                    </a:xfrm>
                    <a:prstGeom prst="rect">
                      <a:avLst/>
                    </a:prstGeom>
                  </pic:spPr>
                </pic:pic>
              </a:graphicData>
            </a:graphic>
          </wp:inline>
        </w:drawing>
      </w:r>
      <w:r w:rsidRPr="00BC0742">
        <w:rPr>
          <w:noProof/>
        </w:rPr>
        <w:t xml:space="preserve"> </w:t>
      </w:r>
      <w:r w:rsidRPr="00BC0742">
        <w:rPr>
          <w:noProof/>
          <w:sz w:val="18"/>
          <w:szCs w:val="18"/>
        </w:rPr>
        <w:drawing>
          <wp:inline distT="0" distB="0" distL="0" distR="0" wp14:anchorId="6F363F58" wp14:editId="294408FA">
            <wp:extent cx="4392930" cy="2524760"/>
            <wp:effectExtent l="0" t="0" r="7620" b="8890"/>
            <wp:docPr id="983200736" name="Picture 1" descr="A collage of graph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200736" name="Picture 1" descr="A collage of graphs&#10;&#10;Description automatically generated"/>
                    <pic:cNvPicPr/>
                  </pic:nvPicPr>
                  <pic:blipFill>
                    <a:blip r:embed="rId39"/>
                    <a:stretch>
                      <a:fillRect/>
                    </a:stretch>
                  </pic:blipFill>
                  <pic:spPr>
                    <a:xfrm>
                      <a:off x="0" y="0"/>
                      <a:ext cx="4392930" cy="2524760"/>
                    </a:xfrm>
                    <a:prstGeom prst="rect">
                      <a:avLst/>
                    </a:prstGeom>
                  </pic:spPr>
                </pic:pic>
              </a:graphicData>
            </a:graphic>
          </wp:inline>
        </w:drawing>
      </w:r>
    </w:p>
    <w:p w14:paraId="48CFAEA5" w14:textId="64B4C381" w:rsidR="00BC0742" w:rsidRPr="00004FB4" w:rsidRDefault="00BC0742" w:rsidP="009B5725">
      <w:pPr>
        <w:pStyle w:val="Caption"/>
        <w:ind w:left="0"/>
        <w:jc w:val="left"/>
        <w:rPr>
          <w:sz w:val="18"/>
          <w:szCs w:val="18"/>
        </w:rPr>
      </w:pPr>
      <w:bookmarkStart w:id="1" w:name="_Toc132057620"/>
      <w:r w:rsidRPr="009B5725">
        <w:rPr>
          <w:b/>
          <w:bCs/>
          <w:sz w:val="18"/>
          <w:szCs w:val="18"/>
        </w:rPr>
        <w:t>Fig</w:t>
      </w:r>
      <w:r w:rsidR="009B5725" w:rsidRPr="009B5725">
        <w:rPr>
          <w:b/>
          <w:bCs/>
          <w:sz w:val="18"/>
          <w:szCs w:val="18"/>
        </w:rPr>
        <w:t>.</w:t>
      </w:r>
      <w:r w:rsidRPr="009B5725">
        <w:rPr>
          <w:b/>
          <w:bCs/>
          <w:sz w:val="18"/>
          <w:szCs w:val="18"/>
        </w:rPr>
        <w:t xml:space="preserve"> 1</w:t>
      </w:r>
      <w:r w:rsidR="00DC0B53">
        <w:rPr>
          <w:b/>
          <w:bCs/>
          <w:sz w:val="18"/>
          <w:szCs w:val="18"/>
        </w:rPr>
        <w:t>7</w:t>
      </w:r>
      <w:r w:rsidR="009B5725" w:rsidRPr="009B5725">
        <w:rPr>
          <w:b/>
          <w:bCs/>
          <w:sz w:val="18"/>
          <w:szCs w:val="18"/>
        </w:rPr>
        <w:t>.</w:t>
      </w:r>
      <w:r w:rsidRPr="00004FB4">
        <w:rPr>
          <w:sz w:val="18"/>
          <w:szCs w:val="18"/>
        </w:rPr>
        <w:t xml:space="preserve"> </w:t>
      </w:r>
      <w:r w:rsidR="009B5725">
        <w:rPr>
          <w:sz w:val="18"/>
          <w:szCs w:val="18"/>
        </w:rPr>
        <w:t>T</w:t>
      </w:r>
      <w:r w:rsidRPr="00004FB4">
        <w:rPr>
          <w:sz w:val="18"/>
          <w:szCs w:val="18"/>
        </w:rPr>
        <w:t>otal acceleration record of middle floor accelerometer and corresponding FFT plot in (a) loading step 1 (b) loading step 2 (c) loading step 3 (d) loading step 4</w:t>
      </w:r>
      <w:bookmarkEnd w:id="1"/>
    </w:p>
    <w:p w14:paraId="15031DC2" w14:textId="6DAB869A" w:rsidR="00BC0742" w:rsidRDefault="00BC0742" w:rsidP="00E05C4B">
      <w:pPr>
        <w:pStyle w:val="p1a"/>
        <w:ind w:firstLine="227"/>
      </w:pPr>
      <w:r>
        <w:t>Strain</w:t>
      </w:r>
      <w:r w:rsidRPr="00004FB4">
        <w:t xml:space="preserve"> </w:t>
      </w:r>
      <w:r>
        <w:t>gauges</w:t>
      </w:r>
      <w:r w:rsidRPr="00004FB4">
        <w:t xml:space="preserve"> </w:t>
      </w:r>
      <w:r>
        <w:t>recorded</w:t>
      </w:r>
      <w:r w:rsidRPr="00004FB4">
        <w:t xml:space="preserve"> the </w:t>
      </w:r>
      <w:r>
        <w:t>strain</w:t>
      </w:r>
      <w:r w:rsidRPr="00004FB4">
        <w:t xml:space="preserve"> </w:t>
      </w:r>
      <w:r>
        <w:t>values</w:t>
      </w:r>
      <w:r w:rsidRPr="00004FB4">
        <w:t xml:space="preserve"> </w:t>
      </w:r>
      <w:r>
        <w:t>in</w:t>
      </w:r>
      <w:r w:rsidRPr="00004FB4">
        <w:t xml:space="preserve"> </w:t>
      </w:r>
      <w:r>
        <w:t>all</w:t>
      </w:r>
      <w:r w:rsidRPr="00004FB4">
        <w:t xml:space="preserve"> </w:t>
      </w:r>
      <w:r>
        <w:t>loading</w:t>
      </w:r>
      <w:r w:rsidRPr="00004FB4">
        <w:t xml:space="preserve"> </w:t>
      </w:r>
      <w:r>
        <w:t>steps.</w:t>
      </w:r>
      <w:r w:rsidRPr="00004FB4">
        <w:t xml:space="preserve">  </w:t>
      </w:r>
      <w:r>
        <w:t>It</w:t>
      </w:r>
      <w:r w:rsidRPr="00004FB4">
        <w:t xml:space="preserve"> </w:t>
      </w:r>
      <w:r>
        <w:t>was found</w:t>
      </w:r>
      <w:r w:rsidRPr="00004FB4">
        <w:t xml:space="preserve"> </w:t>
      </w:r>
      <w:r>
        <w:t>that</w:t>
      </w:r>
      <w:r w:rsidRPr="00004FB4">
        <w:t xml:space="preserve"> </w:t>
      </w:r>
      <w:r>
        <w:t>all</w:t>
      </w:r>
      <w:r w:rsidRPr="00004FB4">
        <w:t xml:space="preserve"> the </w:t>
      </w:r>
      <w:r>
        <w:t>values</w:t>
      </w:r>
      <w:r w:rsidRPr="00004FB4">
        <w:t xml:space="preserve"> </w:t>
      </w:r>
      <w:r>
        <w:t>were</w:t>
      </w:r>
      <w:r w:rsidRPr="00004FB4">
        <w:t xml:space="preserve"> </w:t>
      </w:r>
      <w:r>
        <w:t>less</w:t>
      </w:r>
      <w:r w:rsidRPr="00004FB4">
        <w:t xml:space="preserve"> </w:t>
      </w:r>
      <w:r>
        <w:t>than</w:t>
      </w:r>
      <w:r w:rsidRPr="00004FB4">
        <w:t xml:space="preserve"> </w:t>
      </w:r>
      <w:r>
        <w:t>the</w:t>
      </w:r>
      <w:r w:rsidRPr="00004FB4">
        <w:t xml:space="preserve"> </w:t>
      </w:r>
      <w:r>
        <w:t>yield</w:t>
      </w:r>
      <w:r w:rsidRPr="00004FB4">
        <w:t xml:space="preserve"> </w:t>
      </w:r>
      <w:r>
        <w:t>strain</w:t>
      </w:r>
      <w:r w:rsidRPr="00004FB4">
        <w:t xml:space="preserve"> </w:t>
      </w:r>
      <w:r>
        <w:t>corresponding to mild steel which is 0.0125. Similar results were found in loading steps 2 and 3 increase in maximum strain. The strain value in</w:t>
      </w:r>
      <w:r w:rsidRPr="00004FB4">
        <w:t xml:space="preserve"> </w:t>
      </w:r>
      <w:r>
        <w:t>SG L12</w:t>
      </w:r>
      <w:r w:rsidRPr="00004FB4">
        <w:t xml:space="preserve"> </w:t>
      </w:r>
      <w:r>
        <w:t>located on</w:t>
      </w:r>
      <w:r w:rsidRPr="00004FB4">
        <w:t xml:space="preserve"> </w:t>
      </w:r>
      <w:r>
        <w:t>the first-floor beam</w:t>
      </w:r>
      <w:r w:rsidRPr="00004FB4">
        <w:t xml:space="preserve"> was </w:t>
      </w:r>
      <w:r>
        <w:t>found</w:t>
      </w:r>
      <w:r w:rsidRPr="00004FB4">
        <w:t xml:space="preserve"> </w:t>
      </w:r>
      <w:r>
        <w:t>to exceed</w:t>
      </w:r>
      <w:r w:rsidRPr="00004FB4">
        <w:t xml:space="preserve"> </w:t>
      </w:r>
      <w:r>
        <w:t>the</w:t>
      </w:r>
      <w:r w:rsidRPr="00004FB4">
        <w:t xml:space="preserve"> </w:t>
      </w:r>
      <w:r>
        <w:t>yield</w:t>
      </w:r>
      <w:r w:rsidRPr="00004FB4">
        <w:t xml:space="preserve"> </w:t>
      </w:r>
      <w:r>
        <w:t>value</w:t>
      </w:r>
      <w:r w:rsidRPr="00004FB4">
        <w:t xml:space="preserve"> </w:t>
      </w:r>
      <w:r>
        <w:t>in</w:t>
      </w:r>
      <w:r w:rsidRPr="00004FB4">
        <w:t xml:space="preserve"> </w:t>
      </w:r>
      <w:r>
        <w:t>loading</w:t>
      </w:r>
      <w:r w:rsidRPr="00004FB4">
        <w:t xml:space="preserve"> </w:t>
      </w:r>
      <w:r>
        <w:t>step</w:t>
      </w:r>
      <w:r w:rsidRPr="00004FB4">
        <w:t xml:space="preserve"> </w:t>
      </w:r>
      <w:r>
        <w:t xml:space="preserve">4. The accelerometers were deployed on the center point of the floor. The damage of the NSE supporting system can affect the mass distribution and hence can have some effect on the eccentricity between the center of mass and the center of stiffness. There </w:t>
      </w:r>
      <w:r w:rsidR="00E05C4B">
        <w:t>was</w:t>
      </w:r>
      <w:r>
        <w:t xml:space="preserve"> a consistent reduction in the amplification of base acceleration at different floor levels for the third and fourth loading cycle. Particularly, the reduction in </w:t>
      </w:r>
      <w:r>
        <w:lastRenderedPageBreak/>
        <w:t xml:space="preserve">the response of the second floor level is intriguing. The flattening of the Fourier amplitude spectrum in the second and third floor acceleration response implies increased damping of the system due to the contents of the non-structural elements at the enhanced level of shaking. </w:t>
      </w:r>
    </w:p>
    <w:p w14:paraId="33994896" w14:textId="77777777" w:rsidR="00BC0742" w:rsidRDefault="00BC0742" w:rsidP="00BC0742">
      <w:pPr>
        <w:pStyle w:val="BodyText"/>
        <w:keepNext/>
        <w:spacing w:line="360" w:lineRule="auto"/>
        <w:jc w:val="center"/>
      </w:pPr>
      <w:r>
        <w:rPr>
          <w:noProof/>
        </w:rPr>
        <w:drawing>
          <wp:inline distT="0" distB="0" distL="0" distR="0" wp14:anchorId="089FC522" wp14:editId="4BB5D23A">
            <wp:extent cx="4356340" cy="2912060"/>
            <wp:effectExtent l="0" t="0" r="6350" b="3175"/>
            <wp:docPr id="309970490" name="Picture 309970490">
              <a:extLst xmlns:a="http://schemas.openxmlformats.org/drawingml/2006/main">
                <a:ext uri="{FF2B5EF4-FFF2-40B4-BE49-F238E27FC236}">
                  <a16:creationId xmlns:a16="http://schemas.microsoft.com/office/drawing/2014/main" id="{52D3D915-A119-775A-B1EC-BBDEB635B8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2D3D915-A119-775A-B1EC-BBDEB635B8A0}"/>
                        </a:ext>
                      </a:extLst>
                    </pic:cNvPr>
                    <pic:cNvPicPr>
                      <a:picLocks noChangeAspect="1"/>
                    </pic:cNvPicPr>
                  </pic:nvPicPr>
                  <pic:blipFill>
                    <a:blip r:embed="rId40">
                      <a:extLst>
                        <a:ext uri="{BEBA8EAE-BF5A-486C-A8C5-ECC9F3942E4B}">
                          <a14:imgProps xmlns:a14="http://schemas.microsoft.com/office/drawing/2010/main">
                            <a14:imgLayer r:embed="rId41">
                              <a14:imgEffect>
                                <a14:saturation sat="0"/>
                              </a14:imgEffect>
                            </a14:imgLayer>
                          </a14:imgProps>
                        </a:ext>
                      </a:extLst>
                    </a:blip>
                    <a:stretch>
                      <a:fillRect/>
                    </a:stretch>
                  </pic:blipFill>
                  <pic:spPr>
                    <a:xfrm>
                      <a:off x="0" y="0"/>
                      <a:ext cx="4361876" cy="2915761"/>
                    </a:xfrm>
                    <a:prstGeom prst="rect">
                      <a:avLst/>
                    </a:prstGeom>
                  </pic:spPr>
                </pic:pic>
              </a:graphicData>
            </a:graphic>
          </wp:inline>
        </w:drawing>
      </w:r>
    </w:p>
    <w:p w14:paraId="1A82634F" w14:textId="313C5E5A" w:rsidR="00BC0742" w:rsidRPr="00004FB4" w:rsidRDefault="00BC0742" w:rsidP="009B5725">
      <w:pPr>
        <w:pStyle w:val="Caption"/>
        <w:ind w:left="0"/>
        <w:jc w:val="left"/>
        <w:rPr>
          <w:sz w:val="18"/>
          <w:szCs w:val="18"/>
        </w:rPr>
      </w:pPr>
      <w:bookmarkStart w:id="2" w:name="_Toc132057621"/>
      <w:r w:rsidRPr="009B5725">
        <w:rPr>
          <w:b/>
          <w:bCs/>
          <w:sz w:val="18"/>
          <w:szCs w:val="18"/>
        </w:rPr>
        <w:t>Fig</w:t>
      </w:r>
      <w:r w:rsidR="009B5725" w:rsidRPr="009B5725">
        <w:rPr>
          <w:b/>
          <w:bCs/>
          <w:sz w:val="18"/>
          <w:szCs w:val="18"/>
        </w:rPr>
        <w:t>.</w:t>
      </w:r>
      <w:r w:rsidRPr="009B5725">
        <w:rPr>
          <w:b/>
          <w:bCs/>
          <w:sz w:val="18"/>
          <w:szCs w:val="18"/>
        </w:rPr>
        <w:t xml:space="preserve"> </w:t>
      </w:r>
      <w:r w:rsidR="00DC0B53">
        <w:rPr>
          <w:b/>
          <w:bCs/>
          <w:sz w:val="18"/>
          <w:szCs w:val="18"/>
        </w:rPr>
        <w:t>18</w:t>
      </w:r>
      <w:r w:rsidRPr="009B5725">
        <w:rPr>
          <w:b/>
          <w:bCs/>
          <w:sz w:val="18"/>
          <w:szCs w:val="18"/>
        </w:rPr>
        <w:t>.</w:t>
      </w:r>
      <w:r w:rsidRPr="00004FB4">
        <w:rPr>
          <w:sz w:val="18"/>
          <w:szCs w:val="18"/>
        </w:rPr>
        <w:t xml:space="preserve"> Maximum story total acceleration by dynamic analysis and those recorded by accelerometers in each loading step</w:t>
      </w:r>
      <w:bookmarkEnd w:id="2"/>
      <w:r w:rsidRPr="00004FB4">
        <w:rPr>
          <w:sz w:val="18"/>
          <w:szCs w:val="18"/>
        </w:rPr>
        <w:t xml:space="preserve"> </w:t>
      </w:r>
    </w:p>
    <w:p w14:paraId="172885C0" w14:textId="58E4C0A5" w:rsidR="00BC0742" w:rsidRDefault="00BC0742" w:rsidP="00E05C4B">
      <w:pPr>
        <w:pStyle w:val="p1a"/>
        <w:ind w:firstLine="227"/>
      </w:pPr>
      <w:r>
        <w:t xml:space="preserve">In the test set-up, the sprinkler system pipes on the second floor were filled with sand and aggregates to simulate the weight of water in the actual sprinkler systems. Due to higher density of sand and aggregates, the sprinkler pipes were only partially filled and at the enhanced level of base motions, the shifting of sand and aggregates in these pipes in response of vibrations led to enhanced damping in the system which </w:t>
      </w:r>
      <w:r w:rsidR="00E05C4B">
        <w:t>was</w:t>
      </w:r>
      <w:r>
        <w:t xml:space="preserve"> reflected in the reduced system response at the higher levels of base motion and also in the flattening of the response peak in the vicinity of structural frequency of 0.9 Hz in the Fourier amplitude spectra.  </w:t>
      </w:r>
    </w:p>
    <w:p w14:paraId="58CC6FA7" w14:textId="77777777" w:rsidR="00DC0B53" w:rsidRDefault="00DC0B53" w:rsidP="00DC0B53"/>
    <w:p w14:paraId="0078988A" w14:textId="77777777" w:rsidR="00DC0B53" w:rsidRDefault="00DC0B53" w:rsidP="00DC0B53">
      <w:pPr>
        <w:pStyle w:val="heading2"/>
        <w:spacing w:before="0"/>
      </w:pPr>
      <w:r>
        <w:t>Observations</w:t>
      </w:r>
    </w:p>
    <w:p w14:paraId="2D80A4A0" w14:textId="6CC84087" w:rsidR="00DC0B53" w:rsidRPr="00AA0E7C" w:rsidRDefault="00DC0B53" w:rsidP="00DC0B53">
      <w:pPr>
        <w:ind w:firstLine="0"/>
        <w:rPr>
          <w:lang w:val="en-IN"/>
        </w:rPr>
      </w:pPr>
      <w:r w:rsidRPr="00AA0E7C">
        <w:rPr>
          <w:lang w:val="en-IN"/>
        </w:rPr>
        <w:t>In loading step number one, there was nominal vibration, and no damage was observed in the utility supports. The difference in the amplitude of vibration between the conventional and the braced support systems was visually discernible with the conventional system having visibly large amplitude oscillations. The movement of the cable tray supports</w:t>
      </w:r>
      <w:r>
        <w:rPr>
          <w:lang w:val="en-IN"/>
        </w:rPr>
        <w:t xml:space="preserve"> </w:t>
      </w:r>
      <w:r w:rsidRPr="00AA0E7C">
        <w:rPr>
          <w:lang w:val="en-IN"/>
        </w:rPr>
        <w:t xml:space="preserve">at the third storey was largest, followed by sprinkler system at the second storey and the least sway was observed for the multi-pipe supports at the first floor. Similar </w:t>
      </w:r>
      <w:r w:rsidR="000B1432" w:rsidRPr="00AA0E7C">
        <w:rPr>
          <w:lang w:val="en-IN"/>
        </w:rPr>
        <w:t>behaviour</w:t>
      </w:r>
      <w:r w:rsidRPr="00AA0E7C">
        <w:rPr>
          <w:lang w:val="en-IN"/>
        </w:rPr>
        <w:t xml:space="preserve"> was observed for step </w:t>
      </w:r>
      <w:r>
        <w:rPr>
          <w:lang w:val="en-IN"/>
        </w:rPr>
        <w:t xml:space="preserve">two </w:t>
      </w:r>
      <w:r w:rsidRPr="00AA0E7C">
        <w:rPr>
          <w:lang w:val="en-IN"/>
        </w:rPr>
        <w:t xml:space="preserve">of loading. </w:t>
      </w:r>
    </w:p>
    <w:p w14:paraId="3B385456" w14:textId="77777777" w:rsidR="00DC0B53" w:rsidRDefault="00DC0B53" w:rsidP="00DC0B53">
      <w:pPr>
        <w:rPr>
          <w:lang w:val="en-IN"/>
        </w:rPr>
      </w:pPr>
      <w:r w:rsidRPr="00AA0E7C">
        <w:rPr>
          <w:lang w:val="en-IN"/>
        </w:rPr>
        <w:lastRenderedPageBreak/>
        <w:t xml:space="preserve">In </w:t>
      </w:r>
      <w:r>
        <w:rPr>
          <w:lang w:val="en-IN"/>
        </w:rPr>
        <w:t>loading step number three</w:t>
      </w:r>
      <w:r w:rsidRPr="00AA0E7C">
        <w:rPr>
          <w:lang w:val="en-IN"/>
        </w:rPr>
        <w:t xml:space="preserve">, loosening of anchor and consequent tilting of the cable tray supported by the conventional system located at the top floor was observed </w:t>
      </w:r>
      <w:r>
        <w:rPr>
          <w:lang w:val="en-IN"/>
        </w:rPr>
        <w:t>(</w:t>
      </w:r>
      <w:r w:rsidRPr="00AA0E7C">
        <w:rPr>
          <w:lang w:val="en-IN"/>
        </w:rPr>
        <w:t xml:space="preserve">Fig. </w:t>
      </w:r>
      <w:r>
        <w:rPr>
          <w:lang w:val="en-IN"/>
        </w:rPr>
        <w:t>12</w:t>
      </w:r>
      <w:r w:rsidRPr="00AA0E7C">
        <w:rPr>
          <w:lang w:val="en-IN"/>
        </w:rPr>
        <w:t xml:space="preserve">). No other damage was observed apart from the conventional support of the cable tray on the third storey. Significant sway </w:t>
      </w:r>
      <w:r>
        <w:rPr>
          <w:lang w:val="en-IN"/>
        </w:rPr>
        <w:t xml:space="preserve">was </w:t>
      </w:r>
      <w:r w:rsidRPr="00AA0E7C">
        <w:rPr>
          <w:lang w:val="en-IN"/>
        </w:rPr>
        <w:t>observed in the conventional sprinkler support system, as compared to the braced support at the second storey.</w:t>
      </w:r>
    </w:p>
    <w:p w14:paraId="7B082DC9" w14:textId="77777777" w:rsidR="00DC0B53" w:rsidRDefault="00DC0B53" w:rsidP="00DC0B53">
      <w:pPr>
        <w:rPr>
          <w:lang w:val="en-IN"/>
        </w:rPr>
      </w:pPr>
    </w:p>
    <w:p w14:paraId="03D16592" w14:textId="77777777" w:rsidR="00DC0B53" w:rsidRPr="00004FB4" w:rsidRDefault="00DC0B53" w:rsidP="00DC0B53">
      <w:pPr>
        <w:jc w:val="center"/>
        <w:rPr>
          <w:sz w:val="18"/>
        </w:rPr>
      </w:pPr>
      <w:r w:rsidRPr="00004FB4">
        <w:rPr>
          <w:noProof/>
          <w:sz w:val="18"/>
        </w:rPr>
        <w:drawing>
          <wp:inline distT="0" distB="0" distL="0" distR="0" wp14:anchorId="7830B529" wp14:editId="7FA2EF89">
            <wp:extent cx="1650248" cy="1405995"/>
            <wp:effectExtent l="0" t="0" r="7620" b="3810"/>
            <wp:docPr id="13558489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52653" cy="1408044"/>
                    </a:xfrm>
                    <a:prstGeom prst="rect">
                      <a:avLst/>
                    </a:prstGeom>
                    <a:noFill/>
                    <a:ln>
                      <a:noFill/>
                    </a:ln>
                  </pic:spPr>
                </pic:pic>
              </a:graphicData>
            </a:graphic>
          </wp:inline>
        </w:drawing>
      </w:r>
    </w:p>
    <w:p w14:paraId="133234BC" w14:textId="36C136C6" w:rsidR="00DC0B53" w:rsidRDefault="00DC0B53" w:rsidP="00DC0B53">
      <w:pPr>
        <w:jc w:val="center"/>
        <w:rPr>
          <w:sz w:val="18"/>
        </w:rPr>
      </w:pPr>
      <w:r w:rsidRPr="009B5725">
        <w:rPr>
          <w:b/>
          <w:bCs/>
          <w:sz w:val="18"/>
        </w:rPr>
        <w:t>Fig. 1</w:t>
      </w:r>
      <w:r>
        <w:rPr>
          <w:b/>
          <w:bCs/>
          <w:sz w:val="18"/>
        </w:rPr>
        <w:t>9</w:t>
      </w:r>
      <w:r w:rsidRPr="009B5725">
        <w:rPr>
          <w:b/>
          <w:bCs/>
          <w:sz w:val="18"/>
        </w:rPr>
        <w:t>.</w:t>
      </w:r>
      <w:r w:rsidRPr="00004FB4">
        <w:rPr>
          <w:sz w:val="18"/>
        </w:rPr>
        <w:t xml:space="preserve"> Tilted cable tray supported by the conventional system</w:t>
      </w:r>
    </w:p>
    <w:p w14:paraId="081DC799" w14:textId="77777777" w:rsidR="00DC0B53" w:rsidRDefault="00DC0B53" w:rsidP="00DC0B53">
      <w:pPr>
        <w:ind w:firstLine="0"/>
        <w:rPr>
          <w:sz w:val="18"/>
        </w:rPr>
      </w:pPr>
    </w:p>
    <w:p w14:paraId="797EEE01" w14:textId="77777777" w:rsidR="00DC0B53" w:rsidRDefault="00DC0B53" w:rsidP="00DC0B53">
      <w:pPr>
        <w:rPr>
          <w:szCs w:val="22"/>
        </w:rPr>
      </w:pPr>
      <w:r w:rsidRPr="00004FB4">
        <w:rPr>
          <w:szCs w:val="22"/>
        </w:rPr>
        <w:t>In the final</w:t>
      </w:r>
      <w:r>
        <w:rPr>
          <w:szCs w:val="22"/>
        </w:rPr>
        <w:t xml:space="preserve"> loading</w:t>
      </w:r>
      <w:r w:rsidRPr="00004FB4">
        <w:rPr>
          <w:szCs w:val="22"/>
        </w:rPr>
        <w:t xml:space="preserve"> sequence, the conventional cable tray support suffered a collapse due to the failure of both the support points on the same side (Fig. 13). This was an outcome out of eccentric loading being generated subsequent to yielding at one support point in the previous loading cycle. It was observed that the braced cable tray support system was much stiffer and did not suffer any damage during the shaking.</w:t>
      </w:r>
    </w:p>
    <w:p w14:paraId="24B8B185" w14:textId="5C7EFA08" w:rsidR="00E05C4B" w:rsidRPr="00004FB4" w:rsidRDefault="00E05C4B" w:rsidP="00DC0B53">
      <w:pPr>
        <w:rPr>
          <w:szCs w:val="22"/>
        </w:rPr>
      </w:pPr>
      <w:r>
        <w:t>From these results it can be inferred that the conventional system was far more flexible than the braced system. Excessive displacement of the conventional suspension support system can have implications for the required clearance during installations to accommodate possible large displacements during seismic events.</w:t>
      </w:r>
    </w:p>
    <w:p w14:paraId="157D89C3" w14:textId="77777777" w:rsidR="00DC0B53" w:rsidRDefault="00DC0B53" w:rsidP="00DC0B53">
      <w:pPr>
        <w:ind w:firstLine="0"/>
        <w:rPr>
          <w:sz w:val="18"/>
        </w:rPr>
      </w:pPr>
      <w:r w:rsidRPr="007723EB">
        <w:rPr>
          <w:noProof/>
          <w:sz w:val="18"/>
        </w:rPr>
        <w:lastRenderedPageBreak/>
        <w:drawing>
          <wp:inline distT="0" distB="0" distL="0" distR="0" wp14:anchorId="28CC4E89" wp14:editId="40EDA9AC">
            <wp:extent cx="4392930" cy="3271520"/>
            <wp:effectExtent l="0" t="0" r="7620" b="5080"/>
            <wp:docPr id="7582458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245818" name=""/>
                    <pic:cNvPicPr/>
                  </pic:nvPicPr>
                  <pic:blipFill>
                    <a:blip r:embed="rId43"/>
                    <a:stretch>
                      <a:fillRect/>
                    </a:stretch>
                  </pic:blipFill>
                  <pic:spPr>
                    <a:xfrm>
                      <a:off x="0" y="0"/>
                      <a:ext cx="4392930" cy="3271520"/>
                    </a:xfrm>
                    <a:prstGeom prst="rect">
                      <a:avLst/>
                    </a:prstGeom>
                  </pic:spPr>
                </pic:pic>
              </a:graphicData>
            </a:graphic>
          </wp:inline>
        </w:drawing>
      </w:r>
    </w:p>
    <w:p w14:paraId="6C8FFD37" w14:textId="1D005E1A" w:rsidR="00D401D3" w:rsidRPr="00004FB4" w:rsidRDefault="00DC0B53" w:rsidP="00DC0B53">
      <w:pPr>
        <w:pStyle w:val="figurecaption"/>
        <w:jc w:val="both"/>
      </w:pPr>
      <w:r w:rsidRPr="009B5725">
        <w:rPr>
          <w:b/>
          <w:bCs/>
        </w:rPr>
        <w:t xml:space="preserve">Fig.  </w:t>
      </w:r>
      <w:r>
        <w:rPr>
          <w:b/>
          <w:bCs/>
        </w:rPr>
        <w:t>20</w:t>
      </w:r>
      <w:r w:rsidRPr="00004FB4">
        <w:t>. (a) Damaged conventional cable tray (b) failure of cable tray system due to slippage of threaded rod (c) undamaged braced cable tray system</w:t>
      </w:r>
    </w:p>
    <w:p w14:paraId="0CC57A5A" w14:textId="501B91E5" w:rsidR="008C7910" w:rsidRDefault="00E87CFA" w:rsidP="008C7910">
      <w:pPr>
        <w:pStyle w:val="heading1"/>
      </w:pPr>
      <w:r>
        <w:t xml:space="preserve">Conclusion and </w:t>
      </w:r>
      <w:r w:rsidR="008C7910">
        <w:t>Recommendations</w:t>
      </w:r>
    </w:p>
    <w:p w14:paraId="023562E0" w14:textId="1CEAC9A3" w:rsidR="00243012" w:rsidRPr="00243012" w:rsidRDefault="006C29E3" w:rsidP="00243012">
      <w:pPr>
        <w:pStyle w:val="p1a"/>
      </w:pPr>
      <w:r>
        <w:t xml:space="preserve">From the said test program, it is evident that </w:t>
      </w:r>
      <w:r>
        <w:rPr>
          <w:lang w:val="en-IN"/>
        </w:rPr>
        <w:t>f</w:t>
      </w:r>
      <w:r w:rsidRPr="006C29E3">
        <w:rPr>
          <w:lang w:val="en-IN"/>
        </w:rPr>
        <w:t xml:space="preserve">ailure can occur in any component of the entire support system – the bracing, the vertical support, the connectors or the anchor connecting the whole arrangement to the parent structure and </w:t>
      </w:r>
      <w:r w:rsidR="001F1EC2">
        <w:rPr>
          <w:lang w:val="en-IN"/>
        </w:rPr>
        <w:t xml:space="preserve">the behaviour </w:t>
      </w:r>
      <w:r w:rsidRPr="006C29E3">
        <w:rPr>
          <w:lang w:val="en-IN"/>
        </w:rPr>
        <w:t>cannot be predicted</w:t>
      </w:r>
      <w:r w:rsidR="001F1EC2">
        <w:rPr>
          <w:lang w:val="en-IN"/>
        </w:rPr>
        <w:t xml:space="preserve"> beforehand</w:t>
      </w:r>
      <w:r w:rsidRPr="006C29E3">
        <w:rPr>
          <w:lang w:val="en-IN"/>
        </w:rPr>
        <w:t xml:space="preserve">. Hence every element of the support system should be </w:t>
      </w:r>
      <w:r w:rsidR="001F1EC2">
        <w:rPr>
          <w:lang w:val="en-IN"/>
        </w:rPr>
        <w:t xml:space="preserve">given dure consideration and should be </w:t>
      </w:r>
      <w:r w:rsidRPr="006C29E3">
        <w:rPr>
          <w:lang w:val="en-IN"/>
        </w:rPr>
        <w:t>seismically designed</w:t>
      </w:r>
      <w:r w:rsidR="001F1EC2">
        <w:rPr>
          <w:lang w:val="en-IN"/>
        </w:rPr>
        <w:t xml:space="preserve">. </w:t>
      </w:r>
      <w:r w:rsidR="00243012">
        <w:rPr>
          <w:lang w:val="en-IN"/>
        </w:rPr>
        <w:t>Even d</w:t>
      </w:r>
      <w:r w:rsidR="00243012" w:rsidRPr="00243012">
        <w:t>rift limits on the suspension/support systems for NSEs need to be prescribed in design specification to avoid any secondary failure due to pounding during a seismic event.</w:t>
      </w:r>
    </w:p>
    <w:p w14:paraId="170702FF" w14:textId="658207CC" w:rsidR="006C29E3" w:rsidRPr="006C29E3" w:rsidRDefault="006C29E3" w:rsidP="008C55C8">
      <w:pPr>
        <w:pStyle w:val="p1a"/>
        <w:rPr>
          <w:lang w:val="en-IN"/>
        </w:rPr>
      </w:pPr>
    </w:p>
    <w:p w14:paraId="47A7D5E5" w14:textId="52B8CFC1" w:rsidR="008C7910" w:rsidRDefault="00E05C4B" w:rsidP="008C55C8">
      <w:pPr>
        <w:pStyle w:val="p1a"/>
      </w:pPr>
      <w:r>
        <w:t xml:space="preserve">Various building codes and standards of the country recommend </w:t>
      </w:r>
      <w:r w:rsidR="007A2B8F">
        <w:t xml:space="preserve">designing building utility supports such that they remain functional post an earthquake, especially for important buildings. Despite this requirement, most NSE supports are not adequately designed </w:t>
      </w:r>
      <w:r w:rsidR="00FD7F98">
        <w:t>in practice</w:t>
      </w:r>
      <w:r w:rsidR="007A2B8F">
        <w:t xml:space="preserve">. In most cases, conventional supports systems without seismic bracing are employed to resist gravity loads only. It is clear from the finding of this research project that conventional systems may not be suited when the building utilities are expected to resist seismic excitation. Similar studies have been carried out in different parts of the world that document the inadequacy of conventional </w:t>
      </w:r>
      <w:r w:rsidR="008C55C8">
        <w:t xml:space="preserve">support </w:t>
      </w:r>
      <w:r w:rsidR="007A2B8F">
        <w:t>systems</w:t>
      </w:r>
      <w:r w:rsidR="008C55C8">
        <w:t xml:space="preserve"> for seismic conditions</w:t>
      </w:r>
      <w:r w:rsidR="007A2B8F">
        <w:t xml:space="preserve">. It is important to step away from conventional systems and embrace systems, such as modular supports with bracing, which are more suited for resisting </w:t>
      </w:r>
      <w:r w:rsidR="007A2B8F">
        <w:lastRenderedPageBreak/>
        <w:t xml:space="preserve">seismic excitation. </w:t>
      </w:r>
      <w:r w:rsidR="008C55C8">
        <w:t>There is a need to develop comprehensive standards for design of modular system with seismic bracing.</w:t>
      </w:r>
    </w:p>
    <w:p w14:paraId="0A3F40E4" w14:textId="6BCAE7A6" w:rsidR="008C7910" w:rsidRDefault="008C7910" w:rsidP="008C7910">
      <w:pPr>
        <w:pStyle w:val="heading1"/>
        <w:numPr>
          <w:ilvl w:val="0"/>
          <w:numId w:val="0"/>
        </w:numPr>
        <w:ind w:left="567" w:hanging="567"/>
      </w:pPr>
      <w:r w:rsidRPr="005A2E5F">
        <w:t>Acknowledgements</w:t>
      </w:r>
    </w:p>
    <w:p w14:paraId="2B8AD61F" w14:textId="2FFD7ECE" w:rsidR="000B1432" w:rsidRDefault="000B1432" w:rsidP="000B1432">
      <w:pPr>
        <w:pStyle w:val="Els-body-text"/>
        <w:spacing w:line="276" w:lineRule="auto"/>
        <w:ind w:firstLine="0"/>
      </w:pPr>
      <w:r>
        <w:t>We are extremely thankful to Hilti India Pvt. Ltd. for giving us the opportunity to work on the project that involves a very pertinent topic related to safety. We are grateful to Earthquake Engineering Department, Indian Institute of Technology (IIT) Roorkee for their guidance and support in undertaking this extensive work. Findings, opinions, and conclusions are those of the authors.</w:t>
      </w:r>
    </w:p>
    <w:p w14:paraId="010CFCBA" w14:textId="77777777" w:rsidR="009C4647" w:rsidRDefault="009B2539" w:rsidP="00606587">
      <w:pPr>
        <w:pStyle w:val="heading1"/>
        <w:numPr>
          <w:ilvl w:val="0"/>
          <w:numId w:val="0"/>
        </w:numPr>
        <w:ind w:left="567" w:hanging="567"/>
      </w:pPr>
      <w:r>
        <w:t>References</w:t>
      </w:r>
    </w:p>
    <w:p w14:paraId="4ED20747" w14:textId="4A957DDD" w:rsidR="00904279" w:rsidRDefault="00904279" w:rsidP="00904279">
      <w:pPr>
        <w:pStyle w:val="referenceitem"/>
        <w:rPr>
          <w:lang w:val="en-IN"/>
        </w:rPr>
      </w:pPr>
      <w:r w:rsidRPr="00904279">
        <w:rPr>
          <w:lang w:val="en-IN"/>
        </w:rPr>
        <w:t xml:space="preserve">Xiang Wang, Hamed Ebrahimian, Rodrigo </w:t>
      </w:r>
      <w:proofErr w:type="spellStart"/>
      <w:r w:rsidRPr="00904279">
        <w:rPr>
          <w:lang w:val="en-IN"/>
        </w:rPr>
        <w:t>Astroza</w:t>
      </w:r>
      <w:proofErr w:type="spellEnd"/>
      <w:r w:rsidRPr="00904279">
        <w:rPr>
          <w:lang w:val="en-IN"/>
        </w:rPr>
        <w:t>, Joel P. Conte, Jose I. Restrepo, and Tara C. Hutchinson</w:t>
      </w:r>
      <w:r>
        <w:rPr>
          <w:sz w:val="16"/>
          <w:szCs w:val="16"/>
          <w:lang w:val="en-IN"/>
        </w:rPr>
        <w:t xml:space="preserve"> (May 2013) “</w:t>
      </w:r>
      <w:r>
        <w:rPr>
          <w:lang w:val="en-IN"/>
        </w:rPr>
        <w:t xml:space="preserve">Shake Table Testing of a Full-Scale Five-Story Building: Pre-test Simulation </w:t>
      </w:r>
      <w:r w:rsidRPr="00904279">
        <w:rPr>
          <w:lang w:val="en-IN"/>
        </w:rPr>
        <w:t>of the Test Building and Development of an NCS Design Criteria</w:t>
      </w:r>
      <w:r>
        <w:rPr>
          <w:lang w:val="en-IN"/>
        </w:rPr>
        <w:t>”</w:t>
      </w:r>
    </w:p>
    <w:p w14:paraId="6B2C88EB" w14:textId="565A087C" w:rsidR="009C4647" w:rsidRDefault="00904279" w:rsidP="00904279">
      <w:pPr>
        <w:pStyle w:val="referenceitem"/>
        <w:rPr>
          <w:lang w:val="en-IN"/>
        </w:rPr>
      </w:pPr>
      <w:r>
        <w:rPr>
          <w:lang w:val="en-IN"/>
        </w:rPr>
        <w:t>Goutam Mondal and Sudhir K Jain, The Indian Concrete Journal, (2005) “</w:t>
      </w:r>
      <w:r w:rsidRPr="00904279">
        <w:rPr>
          <w:lang w:val="en-IN"/>
        </w:rPr>
        <w:t>Design of non-structural</w:t>
      </w:r>
      <w:r>
        <w:rPr>
          <w:lang w:val="en-IN"/>
        </w:rPr>
        <w:t xml:space="preserve"> </w:t>
      </w:r>
      <w:r w:rsidRPr="00904279">
        <w:rPr>
          <w:lang w:val="en-IN"/>
        </w:rPr>
        <w:t>elements for buildings: A</w:t>
      </w:r>
      <w:r>
        <w:rPr>
          <w:lang w:val="en-IN"/>
        </w:rPr>
        <w:t xml:space="preserve"> </w:t>
      </w:r>
      <w:r w:rsidRPr="00904279">
        <w:rPr>
          <w:lang w:val="en-IN"/>
        </w:rPr>
        <w:t>review of codal provisions</w:t>
      </w:r>
      <w:r>
        <w:rPr>
          <w:lang w:val="en-IN"/>
        </w:rPr>
        <w:t>”</w:t>
      </w:r>
    </w:p>
    <w:p w14:paraId="2ADD3AC3" w14:textId="451A9765" w:rsidR="00904279" w:rsidRDefault="00904279" w:rsidP="00904279">
      <w:pPr>
        <w:pStyle w:val="referenceitem"/>
        <w:rPr>
          <w:lang w:val="en-IN"/>
        </w:rPr>
      </w:pPr>
      <w:r>
        <w:rPr>
          <w:lang w:val="en-IN"/>
        </w:rPr>
        <w:t>FEMA E-74 (2011)</w:t>
      </w:r>
      <w:r w:rsidRPr="00904279">
        <w:rPr>
          <w:lang w:val="en-IN"/>
        </w:rPr>
        <w:t xml:space="preserve"> </w:t>
      </w:r>
      <w:r>
        <w:rPr>
          <w:lang w:val="en-IN"/>
        </w:rPr>
        <w:t>“</w:t>
      </w:r>
      <w:r w:rsidRPr="00904279">
        <w:rPr>
          <w:lang w:val="en-IN"/>
        </w:rPr>
        <w:t xml:space="preserve">Reducing the Risks of </w:t>
      </w:r>
      <w:proofErr w:type="spellStart"/>
      <w:r w:rsidRPr="00904279">
        <w:rPr>
          <w:lang w:val="en-IN"/>
        </w:rPr>
        <w:t>Nonstructural</w:t>
      </w:r>
      <w:proofErr w:type="spellEnd"/>
      <w:r w:rsidRPr="00904279">
        <w:rPr>
          <w:lang w:val="en-IN"/>
        </w:rPr>
        <w:t xml:space="preserve"> Earthquake Damage – A Practical Guide</w:t>
      </w:r>
      <w:r>
        <w:rPr>
          <w:lang w:val="en-IN"/>
        </w:rPr>
        <w:t>”</w:t>
      </w:r>
    </w:p>
    <w:p w14:paraId="75C6053D" w14:textId="0F1CF9AD" w:rsidR="00904279" w:rsidRDefault="00904279" w:rsidP="00904279">
      <w:pPr>
        <w:pStyle w:val="referenceitem"/>
        <w:rPr>
          <w:lang w:val="en-IN"/>
        </w:rPr>
      </w:pPr>
      <w:r w:rsidRPr="00904279">
        <w:rPr>
          <w:lang w:val="en-IN"/>
        </w:rPr>
        <w:t xml:space="preserve">Matthew S. Hoehler, </w:t>
      </w:r>
      <w:proofErr w:type="gramStart"/>
      <w:r w:rsidRPr="00904279">
        <w:rPr>
          <w:lang w:val="en-IN"/>
        </w:rPr>
        <w:t>M.EERI</w:t>
      </w:r>
      <w:proofErr w:type="gramEnd"/>
      <w:r w:rsidRPr="00904279">
        <w:rPr>
          <w:lang w:val="en-IN"/>
        </w:rPr>
        <w:t xml:space="preserve">, </w:t>
      </w:r>
      <w:proofErr w:type="spellStart"/>
      <w:r w:rsidRPr="00904279">
        <w:rPr>
          <w:lang w:val="en-IN"/>
        </w:rPr>
        <w:t>Shojiro</w:t>
      </w:r>
      <w:proofErr w:type="spellEnd"/>
      <w:r w:rsidRPr="00904279">
        <w:rPr>
          <w:lang w:val="en-IN"/>
        </w:rPr>
        <w:t xml:space="preserve"> </w:t>
      </w:r>
      <w:proofErr w:type="spellStart"/>
      <w:r w:rsidRPr="00904279">
        <w:rPr>
          <w:lang w:val="en-IN"/>
        </w:rPr>
        <w:t>Motoyui</w:t>
      </w:r>
      <w:proofErr w:type="spellEnd"/>
      <w:r w:rsidRPr="00904279">
        <w:rPr>
          <w:lang w:val="en-IN"/>
        </w:rPr>
        <w:t xml:space="preserve">, Kazuhiko Kasai, Yasuaki Sato, Tsuyoshi </w:t>
      </w:r>
      <w:proofErr w:type="spellStart"/>
      <w:r w:rsidRPr="00904279">
        <w:rPr>
          <w:lang w:val="en-IN"/>
        </w:rPr>
        <w:t>Hikino</w:t>
      </w:r>
      <w:proofErr w:type="spellEnd"/>
      <w:r w:rsidRPr="00904279">
        <w:rPr>
          <w:lang w:val="en-IN"/>
        </w:rPr>
        <w:t xml:space="preserve">, and Kosuke </w:t>
      </w:r>
      <w:proofErr w:type="spellStart"/>
      <w:r w:rsidRPr="00904279">
        <w:rPr>
          <w:lang w:val="en-IN"/>
        </w:rPr>
        <w:t>Hirase</w:t>
      </w:r>
      <w:proofErr w:type="spellEnd"/>
      <w:r w:rsidRPr="00904279">
        <w:rPr>
          <w:lang w:val="en-IN"/>
        </w:rPr>
        <w:t>, Earthquake Spectra, Volume 28 (2012), “Ceiling Anchorage Loads during Shake Table Tests of a Full-Scale Five-Story Building”</w:t>
      </w:r>
    </w:p>
    <w:p w14:paraId="457AD4B8" w14:textId="40A299D6" w:rsidR="00904279" w:rsidRPr="00904279" w:rsidRDefault="00904279" w:rsidP="00904279">
      <w:pPr>
        <w:pStyle w:val="referenceitem"/>
        <w:rPr>
          <w:lang w:val="en-IN"/>
        </w:rPr>
      </w:pPr>
      <w:r w:rsidRPr="00904279">
        <w:t>NIST GCR 17-917-44, “</w:t>
      </w:r>
      <w:r w:rsidRPr="00904279">
        <w:rPr>
          <w:lang w:val="en-IN"/>
        </w:rPr>
        <w:t>Seismic Analysis, Design, and Installation of Nonstructural Components and Systems – Background and Recommendations for Future Work”</w:t>
      </w:r>
    </w:p>
    <w:p w14:paraId="41CA9ABD" w14:textId="599CF4EC" w:rsidR="00904279" w:rsidRPr="00577EAA" w:rsidRDefault="00904279" w:rsidP="00606587">
      <w:pPr>
        <w:pStyle w:val="referenceitem"/>
      </w:pPr>
      <w:r w:rsidRPr="00577EAA">
        <w:t>National Building Code of India, 2016</w:t>
      </w:r>
    </w:p>
    <w:p w14:paraId="6EA8CB9F" w14:textId="76C2C763" w:rsidR="00904279" w:rsidRPr="00577EAA" w:rsidRDefault="00904279" w:rsidP="00606587">
      <w:pPr>
        <w:pStyle w:val="referenceitem"/>
      </w:pPr>
      <w:r w:rsidRPr="00577EAA">
        <w:t>IS 1893:2016</w:t>
      </w:r>
      <w:r w:rsidR="00577EAA" w:rsidRPr="00577EAA">
        <w:t xml:space="preserve"> “Criteria for Earthquake Resistant Design of Structures”</w:t>
      </w:r>
    </w:p>
    <w:p w14:paraId="3784649F" w14:textId="208635F4" w:rsidR="00904279" w:rsidRDefault="00577EAA" w:rsidP="00606587">
      <w:pPr>
        <w:pStyle w:val="referenceitem"/>
      </w:pPr>
      <w:r w:rsidRPr="00577EAA">
        <w:t>IS 16700-2017 Criteria for Structural Safety of Tall Concrete Buildings”</w:t>
      </w:r>
    </w:p>
    <w:p w14:paraId="7CEB338C" w14:textId="1D713B2D" w:rsidR="00577EAA" w:rsidRPr="00577EAA" w:rsidRDefault="00577EAA" w:rsidP="00606587">
      <w:pPr>
        <w:pStyle w:val="referenceitem"/>
      </w:pPr>
      <w:r>
        <w:t>National Disaster Management Guidelines – Hospital Safety</w:t>
      </w:r>
    </w:p>
    <w:p w14:paraId="64DC3518" w14:textId="4EAD64F5" w:rsidR="00904279" w:rsidRPr="00577EAA" w:rsidRDefault="00904279" w:rsidP="00577EAA">
      <w:pPr>
        <w:pStyle w:val="referenceitem"/>
        <w:numPr>
          <w:ilvl w:val="0"/>
          <w:numId w:val="0"/>
        </w:numPr>
        <w:ind w:left="341"/>
        <w:rPr>
          <w:highlight w:val="yellow"/>
        </w:rPr>
      </w:pPr>
    </w:p>
    <w:sectPr w:rsidR="00904279" w:rsidRPr="00577EAA" w:rsidSect="009F7FCE">
      <w:headerReference w:type="even" r:id="rId44"/>
      <w:headerReference w:type="default" r:id="rId45"/>
      <w:pgSz w:w="11906" w:h="16838" w:code="9"/>
      <w:pgMar w:top="2948" w:right="2494" w:bottom="2948" w:left="2494" w:header="2381" w:footer="2324" w:gutter="0"/>
      <w:cols w:space="227"/>
      <w:titlePg/>
      <w:docGrid w:linePitch="24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694ACE" w14:textId="77777777" w:rsidR="009F0DE1" w:rsidRDefault="009F0DE1">
      <w:r>
        <w:separator/>
      </w:r>
    </w:p>
  </w:endnote>
  <w:endnote w:type="continuationSeparator" w:id="0">
    <w:p w14:paraId="53F93847" w14:textId="77777777" w:rsidR="009F0DE1" w:rsidRDefault="009F0D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altName w:val="Courier New"/>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D91B7E" w14:textId="77777777" w:rsidR="009F0DE1" w:rsidRDefault="009F0DE1" w:rsidP="009F7FCE">
      <w:pPr>
        <w:ind w:firstLine="0"/>
      </w:pPr>
      <w:r>
        <w:separator/>
      </w:r>
    </w:p>
  </w:footnote>
  <w:footnote w:type="continuationSeparator" w:id="0">
    <w:p w14:paraId="6182AC5E" w14:textId="77777777" w:rsidR="009F0DE1" w:rsidRDefault="009F0DE1" w:rsidP="009F7FCE">
      <w:pPr>
        <w:ind w:firstLin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DDE2EA" w14:textId="77777777" w:rsidR="009B2539" w:rsidRDefault="009B2539" w:rsidP="00F321B4">
    <w:pPr>
      <w:pStyle w:val="Header"/>
    </w:pPr>
    <w:r>
      <w:fldChar w:fldCharType="begin"/>
    </w:r>
    <w:r>
      <w:instrText>PAGE   \* MERGEFORMAT</w:instrText>
    </w:r>
    <w:r>
      <w:fldChar w:fldCharType="separate"/>
    </w:r>
    <w:r w:rsidR="00DC2CA9">
      <w:rPr>
        <w:noProof/>
      </w:rPr>
      <w:t>2</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F25D97" w14:textId="77777777" w:rsidR="002D48C5" w:rsidRDefault="002D48C5" w:rsidP="002D48C5">
    <w:pPr>
      <w:pStyle w:val="Header"/>
      <w:jc w:val="right"/>
    </w:pPr>
    <w:r>
      <w:fldChar w:fldCharType="begin"/>
    </w:r>
    <w:r>
      <w:instrText>PAGE   \* MERGEFORMAT</w:instrText>
    </w:r>
    <w:r>
      <w:fldChar w:fldCharType="separate"/>
    </w:r>
    <w:r w:rsidR="001A02F0">
      <w:rPr>
        <w:noProof/>
      </w:rPr>
      <w:t>3</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F397F84"/>
    <w:multiLevelType w:val="multilevel"/>
    <w:tmpl w:val="77162394"/>
    <w:styleLink w:val="itemization1"/>
    <w:lvl w:ilvl="0">
      <w:start w:val="1"/>
      <w:numFmt w:val="bullet"/>
      <w:pStyle w:val="bulletitem"/>
      <w:lvlText w:val=""/>
      <w:lvlJc w:val="left"/>
      <w:pPr>
        <w:tabs>
          <w:tab w:val="num" w:pos="227"/>
        </w:tabs>
        <w:ind w:left="227" w:hanging="227"/>
      </w:pPr>
      <w:rPr>
        <w:rFonts w:ascii="Symbol" w:hAnsi="Symbol" w:hint="default"/>
      </w:rPr>
    </w:lvl>
    <w:lvl w:ilvl="1">
      <w:start w:val="1"/>
      <w:numFmt w:val="bullet"/>
      <w:lvlText w:val="─"/>
      <w:lvlJc w:val="left"/>
      <w:pPr>
        <w:tabs>
          <w:tab w:val="num" w:pos="454"/>
        </w:tabs>
        <w:ind w:left="454" w:hanging="227"/>
      </w:pPr>
      <w:rPr>
        <w:rFonts w:ascii="Times New Roman" w:hAnsi="Times New Roman" w:cs="Times New Roman" w:hint="default"/>
      </w:rPr>
    </w:lvl>
    <w:lvl w:ilvl="2">
      <w:start w:val="1"/>
      <w:numFmt w:val="bullet"/>
      <w:lvlText w:val="o"/>
      <w:lvlJc w:val="left"/>
      <w:pPr>
        <w:tabs>
          <w:tab w:val="num" w:pos="680"/>
        </w:tabs>
        <w:ind w:left="680" w:hanging="226"/>
      </w:pPr>
      <w:rPr>
        <w:rFonts w:ascii="Courier New" w:hAnsi="Courier New"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o"/>
      <w:lvlJc w:val="left"/>
      <w:pPr>
        <w:tabs>
          <w:tab w:val="num" w:pos="1134"/>
        </w:tabs>
        <w:ind w:left="1134" w:hanging="227"/>
      </w:pPr>
      <w:rPr>
        <w:rFonts w:ascii="Courier New" w:hAnsi="Courier New"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Symbol" w:hAnsi="Symbol" w:hint="default"/>
      </w:rPr>
    </w:lvl>
    <w:lvl w:ilvl="7">
      <w:start w:val="1"/>
      <w:numFmt w:val="bullet"/>
      <w:lvlText w:val="o"/>
      <w:lvlJc w:val="left"/>
      <w:pPr>
        <w:tabs>
          <w:tab w:val="num" w:pos="1814"/>
        </w:tabs>
        <w:ind w:left="1814" w:hanging="226"/>
      </w:pPr>
      <w:rPr>
        <w:rFonts w:ascii="Courier New" w:hAnsi="Courier New" w:hint="default"/>
      </w:rPr>
    </w:lvl>
    <w:lvl w:ilvl="8">
      <w:start w:val="1"/>
      <w:numFmt w:val="bullet"/>
      <w:lvlText w:val=""/>
      <w:lvlJc w:val="left"/>
      <w:pPr>
        <w:tabs>
          <w:tab w:val="num" w:pos="2041"/>
        </w:tabs>
        <w:ind w:left="2041" w:hanging="227"/>
      </w:pPr>
      <w:rPr>
        <w:rFonts w:ascii="Wingdings" w:hAnsi="Wingdings" w:hint="default"/>
      </w:rPr>
    </w:lvl>
  </w:abstractNum>
  <w:abstractNum w:abstractNumId="1" w15:restartNumberingAfterBreak="0">
    <w:nsid w:val="288D67A1"/>
    <w:multiLevelType w:val="hybridMultilevel"/>
    <w:tmpl w:val="AD7AA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79C7CE2"/>
    <w:multiLevelType w:val="multilevel"/>
    <w:tmpl w:val="9B744AC8"/>
    <w:lvl w:ilvl="0">
      <w:start w:val="1"/>
      <w:numFmt w:val="decimal"/>
      <w:lvlText w:val="%1."/>
      <w:lvlJc w:val="left"/>
      <w:pPr>
        <w:tabs>
          <w:tab w:val="num" w:pos="0"/>
        </w:tabs>
        <w:ind w:left="720" w:hanging="360"/>
      </w:pPr>
      <w:rPr>
        <w:rFonts w:ascii="Times New Roman" w:eastAsia="Times New Roman" w:hAnsi="Times New Roman" w:cs="Times New Roman"/>
        <w:w w:val="100"/>
        <w:sz w:val="24"/>
        <w:szCs w:val="24"/>
        <w:lang w:val="en-US" w:eastAsia="en-US" w:bidi="ar-SA"/>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53371326"/>
    <w:multiLevelType w:val="multilevel"/>
    <w:tmpl w:val="ABE4C1BE"/>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407DC1D"/>
    <w:multiLevelType w:val="multilevel"/>
    <w:tmpl w:val="8EC45CB0"/>
    <w:lvl w:ilvl="0">
      <w:numFmt w:val="none"/>
      <w:lvlText w:val=""/>
      <w:lvlJc w:val="left"/>
      <w:pPr>
        <w:tabs>
          <w:tab w:val="num" w:pos="360"/>
        </w:tabs>
      </w:pPr>
    </w:lvl>
    <w:lvl w:ilvl="1">
      <w:start w:val="1"/>
      <w:numFmt w:val="lowerLetter"/>
      <w:lvlText w:val="%2."/>
      <w:lvlJc w:val="left"/>
      <w:pPr>
        <w:ind w:left="1307" w:hanging="360"/>
      </w:pPr>
    </w:lvl>
    <w:lvl w:ilvl="2">
      <w:start w:val="1"/>
      <w:numFmt w:val="lowerRoman"/>
      <w:lvlText w:val="%3."/>
      <w:lvlJc w:val="right"/>
      <w:pPr>
        <w:ind w:left="2027" w:hanging="180"/>
      </w:pPr>
    </w:lvl>
    <w:lvl w:ilvl="3">
      <w:start w:val="1"/>
      <w:numFmt w:val="decimal"/>
      <w:lvlText w:val="%4."/>
      <w:lvlJc w:val="left"/>
      <w:pPr>
        <w:ind w:left="2747" w:hanging="360"/>
      </w:pPr>
    </w:lvl>
    <w:lvl w:ilvl="4">
      <w:start w:val="1"/>
      <w:numFmt w:val="lowerLetter"/>
      <w:lvlText w:val="%5."/>
      <w:lvlJc w:val="left"/>
      <w:pPr>
        <w:ind w:left="3467" w:hanging="360"/>
      </w:pPr>
    </w:lvl>
    <w:lvl w:ilvl="5">
      <w:start w:val="1"/>
      <w:numFmt w:val="lowerRoman"/>
      <w:lvlText w:val="%6."/>
      <w:lvlJc w:val="right"/>
      <w:pPr>
        <w:ind w:left="4187" w:hanging="180"/>
      </w:pPr>
    </w:lvl>
    <w:lvl w:ilvl="6">
      <w:start w:val="1"/>
      <w:numFmt w:val="decimal"/>
      <w:lvlText w:val="%7."/>
      <w:lvlJc w:val="left"/>
      <w:pPr>
        <w:ind w:left="4907" w:hanging="360"/>
      </w:pPr>
    </w:lvl>
    <w:lvl w:ilvl="7">
      <w:start w:val="1"/>
      <w:numFmt w:val="lowerLetter"/>
      <w:lvlText w:val="%8."/>
      <w:lvlJc w:val="left"/>
      <w:pPr>
        <w:ind w:left="5627" w:hanging="360"/>
      </w:pPr>
    </w:lvl>
    <w:lvl w:ilvl="8">
      <w:start w:val="1"/>
      <w:numFmt w:val="lowerRoman"/>
      <w:lvlText w:val="%9."/>
      <w:lvlJc w:val="right"/>
      <w:pPr>
        <w:ind w:left="6347" w:hanging="180"/>
      </w:pPr>
    </w:lvl>
  </w:abstractNum>
  <w:abstractNum w:abstractNumId="5" w15:restartNumberingAfterBreak="0">
    <w:nsid w:val="6F404C9F"/>
    <w:multiLevelType w:val="multilevel"/>
    <w:tmpl w:val="BEDA5F46"/>
    <w:styleLink w:val="itemization2"/>
    <w:lvl w:ilvl="0">
      <w:start w:val="1"/>
      <w:numFmt w:val="bullet"/>
      <w:pStyle w:val="dashitem"/>
      <w:lvlText w:val="─"/>
      <w:lvlJc w:val="left"/>
      <w:pPr>
        <w:tabs>
          <w:tab w:val="num" w:pos="227"/>
        </w:tabs>
        <w:ind w:left="227" w:hanging="227"/>
      </w:pPr>
      <w:rPr>
        <w:rFonts w:ascii="Times New Roman" w:hAnsi="Times New Roman" w:cs="Times New Roman" w:hint="default"/>
      </w:rPr>
    </w:lvl>
    <w:lvl w:ilvl="1">
      <w:start w:val="1"/>
      <w:numFmt w:val="bullet"/>
      <w:lvlText w:val=""/>
      <w:lvlJc w:val="left"/>
      <w:pPr>
        <w:tabs>
          <w:tab w:val="num" w:pos="454"/>
        </w:tabs>
        <w:ind w:left="454" w:hanging="227"/>
      </w:pPr>
      <w:rPr>
        <w:rFonts w:ascii="Symbol" w:hAnsi="Symbol" w:hint="default"/>
      </w:rPr>
    </w:lvl>
    <w:lvl w:ilvl="2">
      <w:start w:val="1"/>
      <w:numFmt w:val="bullet"/>
      <w:lvlText w:val="○"/>
      <w:lvlJc w:val="left"/>
      <w:pPr>
        <w:tabs>
          <w:tab w:val="num" w:pos="680"/>
        </w:tabs>
        <w:ind w:left="680" w:hanging="226"/>
      </w:pPr>
      <w:rPr>
        <w:rFonts w:ascii="Times New Roman" w:hAnsi="Times New Roman" w:cs="Times New Roman" w:hint="default"/>
      </w:rPr>
    </w:lvl>
    <w:lvl w:ilvl="3">
      <w:start w:val="1"/>
      <w:numFmt w:val="bullet"/>
      <w:lvlText w:val="■"/>
      <w:lvlJc w:val="left"/>
      <w:pPr>
        <w:tabs>
          <w:tab w:val="num" w:pos="907"/>
        </w:tabs>
        <w:ind w:left="907" w:hanging="227"/>
      </w:pPr>
      <w:rPr>
        <w:rFonts w:ascii="Times New Roman" w:hAnsi="Times New Roman" w:cs="Times New Roman" w:hint="default"/>
      </w:rPr>
    </w:lvl>
    <w:lvl w:ilvl="4">
      <w:start w:val="1"/>
      <w:numFmt w:val="bullet"/>
      <w:lvlText w:val="○"/>
      <w:lvlJc w:val="left"/>
      <w:pPr>
        <w:tabs>
          <w:tab w:val="num" w:pos="1134"/>
        </w:tabs>
        <w:ind w:left="1134" w:hanging="227"/>
      </w:pPr>
      <w:rPr>
        <w:rFonts w:ascii="Times New Roman" w:hAnsi="Times New Roman" w:cs="Times New Roman" w:hint="default"/>
      </w:rPr>
    </w:lvl>
    <w:lvl w:ilvl="5">
      <w:start w:val="1"/>
      <w:numFmt w:val="bullet"/>
      <w:lvlText w:val="■"/>
      <w:lvlJc w:val="left"/>
      <w:pPr>
        <w:tabs>
          <w:tab w:val="num" w:pos="1361"/>
        </w:tabs>
        <w:ind w:left="1361" w:hanging="227"/>
      </w:pPr>
      <w:rPr>
        <w:rFonts w:ascii="Times New Roman" w:hAnsi="Times New Roman" w:cs="Times New Roman" w:hint="default"/>
      </w:rPr>
    </w:lvl>
    <w:lvl w:ilvl="6">
      <w:start w:val="1"/>
      <w:numFmt w:val="bullet"/>
      <w:lvlText w:val=""/>
      <w:lvlJc w:val="left"/>
      <w:pPr>
        <w:tabs>
          <w:tab w:val="num" w:pos="1588"/>
        </w:tabs>
        <w:ind w:left="1588" w:hanging="227"/>
      </w:pPr>
      <w:rPr>
        <w:rFonts w:ascii="Symbol" w:hAnsi="Symbol" w:hint="default"/>
      </w:rPr>
    </w:lvl>
    <w:lvl w:ilvl="7">
      <w:start w:val="1"/>
      <w:numFmt w:val="bullet"/>
      <w:lvlText w:val="○"/>
      <w:lvlJc w:val="left"/>
      <w:pPr>
        <w:tabs>
          <w:tab w:val="num" w:pos="1814"/>
        </w:tabs>
        <w:ind w:left="1814" w:hanging="226"/>
      </w:pPr>
      <w:rPr>
        <w:rFonts w:ascii="Times New Roman" w:hAnsi="Times New Roman" w:cs="Times New Roman" w:hint="default"/>
      </w:rPr>
    </w:lvl>
    <w:lvl w:ilvl="8">
      <w:start w:val="1"/>
      <w:numFmt w:val="bullet"/>
      <w:lvlText w:val="■"/>
      <w:lvlJc w:val="left"/>
      <w:pPr>
        <w:tabs>
          <w:tab w:val="num" w:pos="2041"/>
        </w:tabs>
        <w:ind w:left="2041" w:hanging="227"/>
      </w:pPr>
      <w:rPr>
        <w:rFonts w:ascii="Times New Roman" w:hAnsi="Times New Roman" w:cs="Times New Roman" w:hint="default"/>
      </w:rPr>
    </w:lvl>
  </w:abstractNum>
  <w:abstractNum w:abstractNumId="6" w15:restartNumberingAfterBreak="0">
    <w:nsid w:val="7738779A"/>
    <w:multiLevelType w:val="multilevel"/>
    <w:tmpl w:val="8844FF92"/>
    <w:styleLink w:val="headings"/>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567"/>
        </w:tabs>
        <w:ind w:left="567" w:hanging="567"/>
      </w:p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64"/>
        </w:tabs>
        <w:ind w:left="964" w:hanging="964"/>
      </w:pPr>
      <w:rPr>
        <w:rFonts w:ascii="Times New Roman" w:hAnsi="Times New Roman" w:hint="default"/>
        <w:b w:val="0"/>
        <w:i/>
        <w:sz w:val="20"/>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7B274BC8"/>
    <w:multiLevelType w:val="multilevel"/>
    <w:tmpl w:val="72E65396"/>
    <w:styleLink w:val="arabnumitem"/>
    <w:lvl w:ilvl="0">
      <w:start w:val="1"/>
      <w:numFmt w:val="decimal"/>
      <w:lvlRestart w:val="0"/>
      <w:pStyle w:val="numitem"/>
      <w:lvlText w:val="%1."/>
      <w:lvlJc w:val="right"/>
      <w:pPr>
        <w:tabs>
          <w:tab w:val="num" w:pos="0"/>
        </w:tabs>
        <w:ind w:left="227" w:hanging="57"/>
      </w:pPr>
      <w:rPr>
        <w:rFonts w:hint="default"/>
      </w:rPr>
    </w:lvl>
    <w:lvl w:ilvl="1">
      <w:start w:val="1"/>
      <w:numFmt w:val="lowerLetter"/>
      <w:lvlText w:val="%2."/>
      <w:lvlJc w:val="left"/>
      <w:pPr>
        <w:tabs>
          <w:tab w:val="num" w:pos="227"/>
        </w:tabs>
        <w:ind w:left="454" w:hanging="227"/>
      </w:pPr>
      <w:rPr>
        <w:rFonts w:hint="default"/>
      </w:rPr>
    </w:lvl>
    <w:lvl w:ilvl="2">
      <w:start w:val="1"/>
      <w:numFmt w:val="decimal"/>
      <w:lvlText w:val="(%3)"/>
      <w:lvlJc w:val="left"/>
      <w:pPr>
        <w:tabs>
          <w:tab w:val="num" w:pos="454"/>
        </w:tabs>
        <w:ind w:left="794" w:hanging="340"/>
      </w:pPr>
      <w:rPr>
        <w:rFonts w:hint="default"/>
      </w:rPr>
    </w:lvl>
    <w:lvl w:ilvl="3">
      <w:start w:val="1"/>
      <w:numFmt w:val="lowerRoman"/>
      <w:lvlText w:val="%4."/>
      <w:lvlJc w:val="left"/>
      <w:pPr>
        <w:tabs>
          <w:tab w:val="num" w:pos="794"/>
        </w:tabs>
        <w:ind w:left="1077" w:hanging="283"/>
      </w:pPr>
      <w:rPr>
        <w:rFonts w:hint="default"/>
      </w:rPr>
    </w:lvl>
    <w:lvl w:ilvl="4">
      <w:start w:val="1"/>
      <w:numFmt w:val="lowerLetter"/>
      <w:lvlText w:val="(%5)"/>
      <w:lvlJc w:val="left"/>
      <w:pPr>
        <w:tabs>
          <w:tab w:val="num" w:pos="1077"/>
        </w:tabs>
        <w:ind w:left="1360" w:hanging="283"/>
      </w:pPr>
      <w:rPr>
        <w:rFonts w:hint="default"/>
      </w:rPr>
    </w:lvl>
    <w:lvl w:ilvl="5">
      <w:start w:val="1"/>
      <w:numFmt w:val="upperLetter"/>
      <w:lvlText w:val="%6."/>
      <w:lvlJc w:val="left"/>
      <w:pPr>
        <w:tabs>
          <w:tab w:val="num" w:pos="1360"/>
        </w:tabs>
        <w:ind w:left="1700" w:hanging="340"/>
      </w:pPr>
      <w:rPr>
        <w:rFonts w:hint="default"/>
      </w:rPr>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7D9521C8"/>
    <w:multiLevelType w:val="multilevel"/>
    <w:tmpl w:val="F35CB8F2"/>
    <w:styleLink w:val="referencelist"/>
    <w:lvl w:ilvl="0">
      <w:start w:val="1"/>
      <w:numFmt w:val="decimal"/>
      <w:pStyle w:val="referenceitem"/>
      <w:lvlText w:val="%1."/>
      <w:lvlJc w:val="right"/>
      <w:pPr>
        <w:tabs>
          <w:tab w:val="num" w:pos="341"/>
        </w:tabs>
        <w:ind w:left="341" w:hanging="114"/>
      </w:pPr>
      <w:rPr>
        <w:rFonts w:hint="default"/>
      </w:rPr>
    </w:lvl>
    <w:lvl w:ilvl="1">
      <w:start w:val="1"/>
      <w:numFmt w:val="lowerLetter"/>
      <w:lvlText w:val="%2."/>
      <w:lvlJc w:val="left"/>
      <w:pPr>
        <w:tabs>
          <w:tab w:val="num" w:pos="1896"/>
        </w:tabs>
        <w:ind w:left="1896" w:hanging="360"/>
      </w:pPr>
      <w:rPr>
        <w:rFonts w:hint="default"/>
      </w:rPr>
    </w:lvl>
    <w:lvl w:ilvl="2">
      <w:start w:val="1"/>
      <w:numFmt w:val="lowerRoman"/>
      <w:lvlText w:val="%3."/>
      <w:lvlJc w:val="right"/>
      <w:pPr>
        <w:tabs>
          <w:tab w:val="num" w:pos="2616"/>
        </w:tabs>
        <w:ind w:left="2616" w:hanging="180"/>
      </w:pPr>
      <w:rPr>
        <w:rFonts w:hint="default"/>
      </w:rPr>
    </w:lvl>
    <w:lvl w:ilvl="3">
      <w:start w:val="1"/>
      <w:numFmt w:val="decimal"/>
      <w:lvlText w:val="%4."/>
      <w:lvlJc w:val="left"/>
      <w:pPr>
        <w:tabs>
          <w:tab w:val="num" w:pos="3336"/>
        </w:tabs>
        <w:ind w:left="3336" w:hanging="360"/>
      </w:pPr>
      <w:rPr>
        <w:rFonts w:hint="default"/>
      </w:rPr>
    </w:lvl>
    <w:lvl w:ilvl="4">
      <w:start w:val="1"/>
      <w:numFmt w:val="lowerLetter"/>
      <w:lvlText w:val="%5."/>
      <w:lvlJc w:val="left"/>
      <w:pPr>
        <w:tabs>
          <w:tab w:val="num" w:pos="4056"/>
        </w:tabs>
        <w:ind w:left="4056" w:hanging="360"/>
      </w:pPr>
      <w:rPr>
        <w:rFonts w:hint="default"/>
      </w:rPr>
    </w:lvl>
    <w:lvl w:ilvl="5">
      <w:start w:val="1"/>
      <w:numFmt w:val="lowerRoman"/>
      <w:lvlText w:val="%6."/>
      <w:lvlJc w:val="right"/>
      <w:pPr>
        <w:tabs>
          <w:tab w:val="num" w:pos="4776"/>
        </w:tabs>
        <w:ind w:left="4776" w:hanging="180"/>
      </w:pPr>
      <w:rPr>
        <w:rFonts w:hint="default"/>
      </w:rPr>
    </w:lvl>
    <w:lvl w:ilvl="6">
      <w:start w:val="1"/>
      <w:numFmt w:val="decimal"/>
      <w:lvlText w:val="%7."/>
      <w:lvlJc w:val="left"/>
      <w:pPr>
        <w:tabs>
          <w:tab w:val="num" w:pos="5496"/>
        </w:tabs>
        <w:ind w:left="5496" w:hanging="360"/>
      </w:pPr>
      <w:rPr>
        <w:rFonts w:hint="default"/>
      </w:rPr>
    </w:lvl>
    <w:lvl w:ilvl="7">
      <w:start w:val="1"/>
      <w:numFmt w:val="lowerLetter"/>
      <w:lvlText w:val="%8."/>
      <w:lvlJc w:val="left"/>
      <w:pPr>
        <w:tabs>
          <w:tab w:val="num" w:pos="6216"/>
        </w:tabs>
        <w:ind w:left="6216" w:hanging="360"/>
      </w:pPr>
      <w:rPr>
        <w:rFonts w:hint="default"/>
      </w:rPr>
    </w:lvl>
    <w:lvl w:ilvl="8">
      <w:start w:val="1"/>
      <w:numFmt w:val="lowerRoman"/>
      <w:lvlText w:val="%9."/>
      <w:lvlJc w:val="right"/>
      <w:pPr>
        <w:tabs>
          <w:tab w:val="num" w:pos="6936"/>
        </w:tabs>
        <w:ind w:left="6936" w:hanging="180"/>
      </w:pPr>
      <w:rPr>
        <w:rFonts w:hint="default"/>
      </w:rPr>
    </w:lvl>
  </w:abstractNum>
  <w:num w:numId="1" w16cid:durableId="1551959519">
    <w:abstractNumId w:val="3"/>
  </w:num>
  <w:num w:numId="2" w16cid:durableId="2115440525">
    <w:abstractNumId w:val="4"/>
  </w:num>
  <w:num w:numId="3" w16cid:durableId="32508269">
    <w:abstractNumId w:val="0"/>
  </w:num>
  <w:num w:numId="4" w16cid:durableId="1196967710">
    <w:abstractNumId w:val="0"/>
  </w:num>
  <w:num w:numId="5" w16cid:durableId="970860078">
    <w:abstractNumId w:val="5"/>
  </w:num>
  <w:num w:numId="6" w16cid:durableId="2098020049">
    <w:abstractNumId w:val="5"/>
  </w:num>
  <w:num w:numId="7" w16cid:durableId="563877305">
    <w:abstractNumId w:val="7"/>
  </w:num>
  <w:num w:numId="8" w16cid:durableId="1173912960">
    <w:abstractNumId w:val="7"/>
  </w:num>
  <w:num w:numId="9" w16cid:durableId="1843086595">
    <w:abstractNumId w:val="6"/>
    <w:lvlOverride w:ilvl="1">
      <w:lvl w:ilvl="1">
        <w:numFmt w:val="decimal"/>
        <w:pStyle w:val="heading2"/>
        <w:lvlText w:val="%1.%2"/>
        <w:lvlJc w:val="left"/>
        <w:pPr>
          <w:tabs>
            <w:tab w:val="num" w:pos="567"/>
          </w:tabs>
          <w:ind w:left="567" w:hanging="567"/>
        </w:pPr>
        <w:rPr>
          <w:rFonts w:hint="default"/>
          <w:b/>
          <w:bCs/>
        </w:rPr>
      </w:lvl>
    </w:lvlOverride>
  </w:num>
  <w:num w:numId="10" w16cid:durableId="1341196322">
    <w:abstractNumId w:val="8"/>
  </w:num>
  <w:num w:numId="11" w16cid:durableId="974913845">
    <w:abstractNumId w:val="8"/>
  </w:num>
  <w:num w:numId="12" w16cid:durableId="1163163466">
    <w:abstractNumId w:val="1"/>
  </w:num>
  <w:num w:numId="13" w16cid:durableId="256913483">
    <w:abstractNumId w:val="2"/>
  </w:num>
  <w:num w:numId="14" w16cid:durableId="605386705">
    <w:abstractNumId w:val="6"/>
  </w:num>
  <w:num w:numId="15" w16cid:durableId="115841876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5726827">
    <w:abstractNumId w:val="8"/>
  </w:num>
  <w:num w:numId="17" w16cid:durableId="9984596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27"/>
  <w:autoHyphenation/>
  <w:hyphenationZone w:val="400"/>
  <w:doNotHyphenateCaps/>
  <w:evenAndOddHeaders/>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7FCE"/>
    <w:rsid w:val="00004FB4"/>
    <w:rsid w:val="0000672C"/>
    <w:rsid w:val="0001150F"/>
    <w:rsid w:val="00021380"/>
    <w:rsid w:val="00037F0B"/>
    <w:rsid w:val="00046E30"/>
    <w:rsid w:val="000832BA"/>
    <w:rsid w:val="000B1432"/>
    <w:rsid w:val="00142185"/>
    <w:rsid w:val="001A02F0"/>
    <w:rsid w:val="001F1EC2"/>
    <w:rsid w:val="00243012"/>
    <w:rsid w:val="0025523B"/>
    <w:rsid w:val="00295C2A"/>
    <w:rsid w:val="002D3AAB"/>
    <w:rsid w:val="002D48C5"/>
    <w:rsid w:val="002F04BA"/>
    <w:rsid w:val="002F0A88"/>
    <w:rsid w:val="003108B3"/>
    <w:rsid w:val="00337BBE"/>
    <w:rsid w:val="00340464"/>
    <w:rsid w:val="00360B6C"/>
    <w:rsid w:val="00377B9A"/>
    <w:rsid w:val="003C2628"/>
    <w:rsid w:val="003C58D6"/>
    <w:rsid w:val="003E4304"/>
    <w:rsid w:val="004169D6"/>
    <w:rsid w:val="00416F97"/>
    <w:rsid w:val="00436BF6"/>
    <w:rsid w:val="004713BB"/>
    <w:rsid w:val="004B1D93"/>
    <w:rsid w:val="00566164"/>
    <w:rsid w:val="0057560D"/>
    <w:rsid w:val="00577EAA"/>
    <w:rsid w:val="0058618C"/>
    <w:rsid w:val="005A2E5F"/>
    <w:rsid w:val="005D223F"/>
    <w:rsid w:val="005F502B"/>
    <w:rsid w:val="00602B60"/>
    <w:rsid w:val="00610F6A"/>
    <w:rsid w:val="006119D5"/>
    <w:rsid w:val="00611F64"/>
    <w:rsid w:val="00633750"/>
    <w:rsid w:val="00635794"/>
    <w:rsid w:val="006B3623"/>
    <w:rsid w:val="006B3E33"/>
    <w:rsid w:val="006B6ED3"/>
    <w:rsid w:val="006B701A"/>
    <w:rsid w:val="006C29E3"/>
    <w:rsid w:val="006F21DE"/>
    <w:rsid w:val="0073569B"/>
    <w:rsid w:val="00736BFB"/>
    <w:rsid w:val="00771782"/>
    <w:rsid w:val="007723EB"/>
    <w:rsid w:val="0079541E"/>
    <w:rsid w:val="00797EDE"/>
    <w:rsid w:val="007A2B8F"/>
    <w:rsid w:val="007D6777"/>
    <w:rsid w:val="008B63F3"/>
    <w:rsid w:val="008C55C8"/>
    <w:rsid w:val="008C7910"/>
    <w:rsid w:val="008F2D4C"/>
    <w:rsid w:val="0090366B"/>
    <w:rsid w:val="00904279"/>
    <w:rsid w:val="00936C25"/>
    <w:rsid w:val="0095423E"/>
    <w:rsid w:val="0095763F"/>
    <w:rsid w:val="00967DC3"/>
    <w:rsid w:val="009930E4"/>
    <w:rsid w:val="009942E7"/>
    <w:rsid w:val="009B2539"/>
    <w:rsid w:val="009B5725"/>
    <w:rsid w:val="009C04B0"/>
    <w:rsid w:val="009C4647"/>
    <w:rsid w:val="009C65E2"/>
    <w:rsid w:val="009D2D3C"/>
    <w:rsid w:val="009D7910"/>
    <w:rsid w:val="009F0DE1"/>
    <w:rsid w:val="009F7FCE"/>
    <w:rsid w:val="00A161B9"/>
    <w:rsid w:val="00A5276D"/>
    <w:rsid w:val="00A74E02"/>
    <w:rsid w:val="00A8343C"/>
    <w:rsid w:val="00A85C11"/>
    <w:rsid w:val="00AA0E7C"/>
    <w:rsid w:val="00AA496C"/>
    <w:rsid w:val="00AB73F5"/>
    <w:rsid w:val="00AB74FB"/>
    <w:rsid w:val="00AE2D20"/>
    <w:rsid w:val="00AF05CD"/>
    <w:rsid w:val="00B23481"/>
    <w:rsid w:val="00B86EE6"/>
    <w:rsid w:val="00BA66E6"/>
    <w:rsid w:val="00BC0742"/>
    <w:rsid w:val="00C14716"/>
    <w:rsid w:val="00C62285"/>
    <w:rsid w:val="00D401D3"/>
    <w:rsid w:val="00D82C31"/>
    <w:rsid w:val="00DC0B53"/>
    <w:rsid w:val="00DC2CA9"/>
    <w:rsid w:val="00E05C4B"/>
    <w:rsid w:val="00E33FDF"/>
    <w:rsid w:val="00E603C7"/>
    <w:rsid w:val="00E87CFA"/>
    <w:rsid w:val="00EC1A51"/>
    <w:rsid w:val="00ED1762"/>
    <w:rsid w:val="00F07674"/>
    <w:rsid w:val="00F24AF2"/>
    <w:rsid w:val="00F321B4"/>
    <w:rsid w:val="00F5127C"/>
    <w:rsid w:val="00F63BE6"/>
    <w:rsid w:val="00F668A4"/>
    <w:rsid w:val="00F70609"/>
    <w:rsid w:val="00F8078C"/>
    <w:rsid w:val="00FD1993"/>
    <w:rsid w:val="00FD2ECE"/>
    <w:rsid w:val="00FD7F98"/>
    <w:rsid w:val="018F1024"/>
    <w:rsid w:val="055807F1"/>
    <w:rsid w:val="061054FE"/>
    <w:rsid w:val="06E65775"/>
    <w:rsid w:val="09F9A207"/>
    <w:rsid w:val="0AA0DF87"/>
    <w:rsid w:val="0AD8DC2B"/>
    <w:rsid w:val="0FCDCB55"/>
    <w:rsid w:val="11B8477D"/>
    <w:rsid w:val="1D128378"/>
    <w:rsid w:val="20FF1F80"/>
    <w:rsid w:val="24930E03"/>
    <w:rsid w:val="2AA2AAE3"/>
    <w:rsid w:val="3208BE4D"/>
    <w:rsid w:val="324C9953"/>
    <w:rsid w:val="3349C5E1"/>
    <w:rsid w:val="34EA0FF7"/>
    <w:rsid w:val="373078C3"/>
    <w:rsid w:val="3D1CC712"/>
    <w:rsid w:val="3D2285C7"/>
    <w:rsid w:val="40AD0792"/>
    <w:rsid w:val="4AF6FFAC"/>
    <w:rsid w:val="4C7E759B"/>
    <w:rsid w:val="52E0A75B"/>
    <w:rsid w:val="57DD5E05"/>
    <w:rsid w:val="5A626453"/>
    <w:rsid w:val="5A6A4B83"/>
    <w:rsid w:val="5D35FD6B"/>
    <w:rsid w:val="5D3BE759"/>
    <w:rsid w:val="5EB5C177"/>
    <w:rsid w:val="63D49F3D"/>
    <w:rsid w:val="667022A3"/>
    <w:rsid w:val="67B91ECB"/>
    <w:rsid w:val="6D7E44CE"/>
    <w:rsid w:val="6F431CD5"/>
    <w:rsid w:val="74821BE4"/>
    <w:rsid w:val="75FEECF2"/>
    <w:rsid w:val="7BF46583"/>
    <w:rsid w:val="7C4D0D2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02F91DB"/>
  <w15:docId w15:val="{C46200D9-19FF-43D8-AF1D-628B4C8069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pPr>
        <w:spacing w:line="240" w:lineRule="atLeast"/>
      </w:pPr>
    </w:pPrDefault>
  </w:docDefaults>
  <w:latentStyles w:defLockedState="0" w:defUIPriority="0" w:defSemiHidden="0" w:defUnhideWhenUsed="0" w:defQFormat="0" w:count="376">
    <w:lsdException w:name="Normal" w:qFormat="1"/>
    <w:lsdException w:name="heading 1" w:semiHidden="1"/>
    <w:lsdException w:name="heading 2" w:semiHidden="1"/>
    <w:lsdException w:name="heading 3" w:semiHidden="1"/>
    <w:lsdException w:name="heading 4" w:semiHidden="1"/>
    <w:lsdException w:name="heading 5" w:semiHidden="1"/>
    <w:lsdException w:name="heading 6" w:semiHidden="1"/>
    <w:lsdException w:name="heading 7" w:semiHidden="1"/>
    <w:lsdException w:name="heading 8" w:semiHidden="1"/>
    <w:lsdException w:name="heading 9" w:semiHidden="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Normal Indent" w:semiHidden="1"/>
    <w:lsdException w:name="footnote text" w:semiHidden="1"/>
    <w:lsdException w:name="annotation text" w:semiHidden="1"/>
    <w:lsdException w:name="header" w:semiHidden="1"/>
    <w:lsdException w:name="footer" w:semiHidden="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lsdException w:name="Closing" w:semiHidden="1"/>
    <w:lsdException w:name="Signature" w:semiHidden="1"/>
    <w:lsdException w:name="Default Paragraph Font" w:semiHidden="1"/>
    <w:lsdException w:name="Body Text" w:semiHidden="1" w:uiPriority="1"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lsdException w:name="Emphasis" w:semiHidden="1"/>
    <w:lsdException w:name="Document Map" w:semiHidden="1"/>
    <w:lsdException w:name="Plain Text" w:semiHidden="1"/>
    <w:lsdException w:name="E-mail Signature" w:semiHidden="1"/>
    <w:lsdException w:name="HTML Top of Form" w:semiHidden="1"/>
    <w:lsdException w:name="HTML Bottom of Form" w:semiHidden="1"/>
    <w:lsdException w:name="Normal (Web)" w:semiHidden="1" w:uiPriority="99"/>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lsdException w:name="No Spacing"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lsdException w:name="Quote" w:semiHidden="1"/>
    <w:lsdException w:name="Intense Quote"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lsdException w:name="Intense Emphasis" w:semiHidden="1"/>
    <w:lsdException w:name="Subtle Reference" w:semiHidden="1"/>
    <w:lsdException w:name="Intense Reference" w:semiHidden="1"/>
    <w:lsdException w:name="Book Title" w:semiHidden="1"/>
    <w:lsdException w:name="Bibliography" w:semiHidden="1"/>
    <w:lsdException w:name="TOC Heading" w:semiHidden="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7667"/>
    <w:pPr>
      <w:overflowPunct w:val="0"/>
      <w:autoSpaceDE w:val="0"/>
      <w:autoSpaceDN w:val="0"/>
      <w:adjustRightInd w:val="0"/>
      <w:ind w:firstLine="227"/>
      <w:jc w:val="both"/>
      <w:textAlignment w:val="baseline"/>
    </w:pPr>
  </w:style>
  <w:style w:type="paragraph" w:styleId="Heading10">
    <w:name w:val="heading 1"/>
    <w:basedOn w:val="Normal"/>
    <w:next w:val="p1a"/>
    <w:semiHidden/>
    <w:unhideWhenUsed/>
    <w:qFormat/>
    <w:pPr>
      <w:keepNext/>
      <w:keepLines/>
      <w:suppressAutoHyphens/>
      <w:spacing w:before="360" w:after="240" w:line="300" w:lineRule="atLeast"/>
      <w:ind w:left="567" w:hanging="567"/>
      <w:jc w:val="left"/>
      <w:outlineLvl w:val="0"/>
    </w:pPr>
    <w:rPr>
      <w:b/>
      <w:sz w:val="24"/>
    </w:rPr>
  </w:style>
  <w:style w:type="paragraph" w:styleId="Heading20">
    <w:name w:val="heading 2"/>
    <w:basedOn w:val="Normal"/>
    <w:next w:val="p1a"/>
    <w:semiHidden/>
    <w:unhideWhenUsed/>
    <w:qFormat/>
    <w:pPr>
      <w:keepNext/>
      <w:keepLines/>
      <w:suppressAutoHyphens/>
      <w:spacing w:before="360" w:after="160"/>
      <w:ind w:left="567" w:hanging="567"/>
      <w:jc w:val="left"/>
      <w:outlineLvl w:val="1"/>
    </w:pPr>
    <w:rPr>
      <w:b/>
    </w:rPr>
  </w:style>
  <w:style w:type="paragraph" w:styleId="Heading3">
    <w:name w:val="heading 3"/>
    <w:basedOn w:val="Normal"/>
    <w:next w:val="Normal"/>
    <w:qFormat/>
    <w:pPr>
      <w:spacing w:before="360"/>
      <w:ind w:firstLine="0"/>
      <w:outlineLvl w:val="2"/>
    </w:pPr>
  </w:style>
  <w:style w:type="paragraph" w:styleId="Heading4">
    <w:name w:val="heading 4"/>
    <w:basedOn w:val="Normal"/>
    <w:next w:val="Normal"/>
    <w:qFormat/>
    <w:pPr>
      <w:spacing w:before="240"/>
      <w:ind w:firstLine="0"/>
      <w:outlineLvl w:val="3"/>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basedOn w:val="Normal"/>
    <w:pPr>
      <w:spacing w:before="600" w:after="360" w:line="220" w:lineRule="atLeast"/>
      <w:ind w:left="567" w:right="567"/>
      <w:contextualSpacing/>
    </w:pPr>
    <w:rPr>
      <w:sz w:val="18"/>
    </w:rPr>
  </w:style>
  <w:style w:type="paragraph" w:customStyle="1" w:styleId="address">
    <w:name w:val="address"/>
    <w:basedOn w:val="Normal"/>
    <w:pPr>
      <w:spacing w:after="200" w:line="220" w:lineRule="atLeast"/>
      <w:ind w:firstLine="0"/>
      <w:contextualSpacing/>
      <w:jc w:val="center"/>
    </w:pPr>
    <w:rPr>
      <w:sz w:val="18"/>
    </w:rPr>
  </w:style>
  <w:style w:type="numbering" w:customStyle="1" w:styleId="arabnumitem">
    <w:name w:val="arabnumitem"/>
    <w:basedOn w:val="NoList"/>
    <w:pPr>
      <w:numPr>
        <w:numId w:val="7"/>
      </w:numPr>
    </w:pPr>
  </w:style>
  <w:style w:type="paragraph" w:customStyle="1" w:styleId="author">
    <w:name w:val="author"/>
    <w:basedOn w:val="Normal"/>
    <w:next w:val="address"/>
    <w:pPr>
      <w:spacing w:after="200" w:line="220" w:lineRule="atLeast"/>
      <w:ind w:firstLine="0"/>
      <w:jc w:val="center"/>
    </w:pPr>
  </w:style>
  <w:style w:type="paragraph" w:customStyle="1" w:styleId="bulletitem">
    <w:name w:val="bulletitem"/>
    <w:basedOn w:val="Normal"/>
    <w:pPr>
      <w:numPr>
        <w:numId w:val="4"/>
      </w:numPr>
      <w:spacing w:before="160" w:after="160"/>
      <w:contextualSpacing/>
    </w:pPr>
  </w:style>
  <w:style w:type="paragraph" w:customStyle="1" w:styleId="dashitem">
    <w:name w:val="dashitem"/>
    <w:basedOn w:val="Normal"/>
    <w:pPr>
      <w:numPr>
        <w:numId w:val="6"/>
      </w:numPr>
      <w:spacing w:before="160" w:after="160"/>
      <w:contextualSpacing/>
    </w:pPr>
  </w:style>
  <w:style w:type="character" w:customStyle="1" w:styleId="e-mail">
    <w:name w:val="e-mail"/>
    <w:basedOn w:val="DefaultParagraphFont"/>
    <w:rPr>
      <w:rFonts w:ascii="Courier" w:hAnsi="Courier"/>
      <w:noProof/>
    </w:rPr>
  </w:style>
  <w:style w:type="paragraph" w:customStyle="1" w:styleId="equation">
    <w:name w:val="equation"/>
    <w:basedOn w:val="Normal"/>
    <w:next w:val="Normal"/>
    <w:pPr>
      <w:tabs>
        <w:tab w:val="center" w:pos="3289"/>
        <w:tab w:val="right" w:pos="6917"/>
      </w:tabs>
      <w:spacing w:before="160" w:after="160"/>
      <w:ind w:firstLine="0"/>
    </w:pPr>
  </w:style>
  <w:style w:type="paragraph" w:customStyle="1" w:styleId="figurecaption">
    <w:name w:val="figurecaption"/>
    <w:basedOn w:val="Normal"/>
    <w:next w:val="Normal"/>
    <w:pPr>
      <w:keepLines/>
      <w:spacing w:before="120" w:after="240" w:line="220" w:lineRule="atLeast"/>
      <w:ind w:firstLine="0"/>
      <w:jc w:val="center"/>
    </w:pPr>
    <w:rPr>
      <w:sz w:val="18"/>
    </w:rPr>
  </w:style>
  <w:style w:type="character" w:styleId="FootnoteReference">
    <w:name w:val="footnote reference"/>
    <w:basedOn w:val="DefaultParagraphFont"/>
    <w:semiHidden/>
    <w:unhideWhenUsed/>
    <w:rPr>
      <w:position w:val="0"/>
      <w:vertAlign w:val="superscript"/>
    </w:rPr>
  </w:style>
  <w:style w:type="paragraph" w:styleId="Footer">
    <w:name w:val="footer"/>
    <w:basedOn w:val="Normal"/>
    <w:semiHidden/>
    <w:unhideWhenUsed/>
  </w:style>
  <w:style w:type="paragraph" w:customStyle="1" w:styleId="heading1">
    <w:name w:val="heading1"/>
    <w:basedOn w:val="Normal"/>
    <w:next w:val="p1a"/>
    <w:qFormat/>
    <w:pPr>
      <w:keepNext/>
      <w:keepLines/>
      <w:numPr>
        <w:numId w:val="9"/>
      </w:numPr>
      <w:suppressAutoHyphens/>
      <w:spacing w:before="360" w:after="240" w:line="300" w:lineRule="atLeast"/>
      <w:jc w:val="left"/>
      <w:outlineLvl w:val="0"/>
    </w:pPr>
    <w:rPr>
      <w:b/>
      <w:sz w:val="24"/>
    </w:rPr>
  </w:style>
  <w:style w:type="paragraph" w:customStyle="1" w:styleId="heading2">
    <w:name w:val="heading2"/>
    <w:basedOn w:val="Normal"/>
    <w:next w:val="p1a"/>
    <w:qFormat/>
    <w:pPr>
      <w:keepNext/>
      <w:keepLines/>
      <w:numPr>
        <w:ilvl w:val="1"/>
        <w:numId w:val="9"/>
      </w:numPr>
      <w:suppressAutoHyphens/>
      <w:spacing w:before="360" w:after="160"/>
      <w:jc w:val="left"/>
      <w:outlineLvl w:val="1"/>
    </w:pPr>
    <w:rPr>
      <w:b/>
    </w:rPr>
  </w:style>
  <w:style w:type="character" w:customStyle="1" w:styleId="heading30">
    <w:name w:val="heading3"/>
    <w:basedOn w:val="DefaultParagraphFont"/>
    <w:rPr>
      <w:b/>
    </w:rPr>
  </w:style>
  <w:style w:type="character" w:customStyle="1" w:styleId="heading40">
    <w:name w:val="heading4"/>
    <w:basedOn w:val="DefaultParagraphFont"/>
    <w:rPr>
      <w:i/>
    </w:rPr>
  </w:style>
  <w:style w:type="numbering" w:customStyle="1" w:styleId="headings">
    <w:name w:val="headings"/>
    <w:basedOn w:val="arabnumitem"/>
    <w:pPr>
      <w:numPr>
        <w:numId w:val="14"/>
      </w:numPr>
    </w:pPr>
  </w:style>
  <w:style w:type="character" w:styleId="Hyperlink">
    <w:name w:val="Hyperlink"/>
    <w:basedOn w:val="DefaultParagraphFont"/>
    <w:unhideWhenUsed/>
    <w:rPr>
      <w:color w:val="auto"/>
      <w:u w:val="none"/>
    </w:rPr>
  </w:style>
  <w:style w:type="paragraph" w:customStyle="1" w:styleId="image">
    <w:name w:val="image"/>
    <w:basedOn w:val="Normal"/>
    <w:next w:val="Normal"/>
    <w:pPr>
      <w:spacing w:before="240" w:after="120"/>
      <w:ind w:firstLine="0"/>
      <w:jc w:val="center"/>
    </w:pPr>
  </w:style>
  <w:style w:type="numbering" w:customStyle="1" w:styleId="itemization1">
    <w:name w:val="itemization1"/>
    <w:basedOn w:val="NoList"/>
    <w:pPr>
      <w:numPr>
        <w:numId w:val="3"/>
      </w:numPr>
    </w:pPr>
  </w:style>
  <w:style w:type="numbering" w:customStyle="1" w:styleId="itemization2">
    <w:name w:val="itemization2"/>
    <w:basedOn w:val="NoList"/>
    <w:pPr>
      <w:numPr>
        <w:numId w:val="5"/>
      </w:numPr>
    </w:pPr>
  </w:style>
  <w:style w:type="paragraph" w:customStyle="1" w:styleId="keywords">
    <w:name w:val="keywords"/>
    <w:basedOn w:val="abstract"/>
    <w:next w:val="heading1"/>
    <w:pPr>
      <w:spacing w:before="220"/>
      <w:ind w:firstLine="0"/>
      <w:contextualSpacing w:val="0"/>
      <w:jc w:val="left"/>
    </w:pPr>
  </w:style>
  <w:style w:type="paragraph" w:styleId="Header">
    <w:name w:val="header"/>
    <w:basedOn w:val="Normal"/>
    <w:semiHidden/>
    <w:unhideWhenUsed/>
    <w:pPr>
      <w:tabs>
        <w:tab w:val="center" w:pos="4536"/>
        <w:tab w:val="right" w:pos="9072"/>
      </w:tabs>
      <w:ind w:firstLine="0"/>
    </w:pPr>
    <w:rPr>
      <w:sz w:val="18"/>
      <w:szCs w:val="18"/>
    </w:rPr>
  </w:style>
  <w:style w:type="paragraph" w:customStyle="1" w:styleId="numitem">
    <w:name w:val="numitem"/>
    <w:basedOn w:val="Normal"/>
    <w:pPr>
      <w:numPr>
        <w:numId w:val="8"/>
      </w:numPr>
      <w:spacing w:before="160" w:after="160"/>
      <w:contextualSpacing/>
    </w:pPr>
  </w:style>
  <w:style w:type="paragraph" w:customStyle="1" w:styleId="p1a">
    <w:name w:val="p1a"/>
    <w:basedOn w:val="Normal"/>
    <w:next w:val="Normal"/>
    <w:pPr>
      <w:ind w:firstLine="0"/>
    </w:pPr>
  </w:style>
  <w:style w:type="paragraph" w:customStyle="1" w:styleId="programcode">
    <w:name w:val="programcode"/>
    <w:basedOn w:val="Normal"/>
    <w:pPr>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 w:val="left" w:pos="3856"/>
        <w:tab w:val="left" w:pos="4082"/>
        <w:tab w:val="left" w:pos="4309"/>
        <w:tab w:val="left" w:pos="4536"/>
        <w:tab w:val="left" w:pos="4763"/>
        <w:tab w:val="left" w:pos="4990"/>
        <w:tab w:val="left" w:pos="5216"/>
        <w:tab w:val="left" w:pos="5443"/>
        <w:tab w:val="left" w:pos="5670"/>
        <w:tab w:val="left" w:pos="5897"/>
        <w:tab w:val="left" w:pos="6124"/>
        <w:tab w:val="left" w:pos="6350"/>
        <w:tab w:val="left" w:pos="6577"/>
      </w:tabs>
      <w:spacing w:before="160" w:after="160"/>
      <w:ind w:firstLine="0"/>
      <w:contextualSpacing/>
      <w:jc w:val="left"/>
    </w:pPr>
    <w:rPr>
      <w:rFonts w:ascii="Courier" w:hAnsi="Courier"/>
    </w:rPr>
  </w:style>
  <w:style w:type="paragraph" w:customStyle="1" w:styleId="referenceitem">
    <w:name w:val="referenceitem"/>
    <w:basedOn w:val="Normal"/>
    <w:pPr>
      <w:numPr>
        <w:numId w:val="11"/>
      </w:numPr>
      <w:spacing w:line="220" w:lineRule="atLeast"/>
    </w:pPr>
    <w:rPr>
      <w:sz w:val="18"/>
    </w:rPr>
  </w:style>
  <w:style w:type="numbering" w:customStyle="1" w:styleId="referencelist">
    <w:name w:val="referencelist"/>
    <w:basedOn w:val="NoList"/>
    <w:semiHidden/>
    <w:pPr>
      <w:numPr>
        <w:numId w:val="10"/>
      </w:numPr>
    </w:pPr>
  </w:style>
  <w:style w:type="paragraph" w:customStyle="1" w:styleId="runninghead-left">
    <w:name w:val="running head - left"/>
    <w:basedOn w:val="Normal"/>
    <w:pPr>
      <w:ind w:firstLine="0"/>
      <w:jc w:val="left"/>
    </w:pPr>
    <w:rPr>
      <w:sz w:val="18"/>
      <w:szCs w:val="18"/>
    </w:rPr>
  </w:style>
  <w:style w:type="paragraph" w:customStyle="1" w:styleId="runninghead-right">
    <w:name w:val="running head - right"/>
    <w:basedOn w:val="Normal"/>
    <w:pPr>
      <w:ind w:firstLine="0"/>
      <w:jc w:val="right"/>
    </w:pPr>
    <w:rPr>
      <w:bCs/>
      <w:sz w:val="18"/>
      <w:szCs w:val="18"/>
    </w:rPr>
  </w:style>
  <w:style w:type="character" w:styleId="PageNumber">
    <w:name w:val="page number"/>
    <w:basedOn w:val="DefaultParagraphFont"/>
    <w:semiHidden/>
    <w:unhideWhenUsed/>
    <w:rPr>
      <w:sz w:val="18"/>
    </w:rPr>
  </w:style>
  <w:style w:type="paragraph" w:customStyle="1" w:styleId="papertitle">
    <w:name w:val="papertitle"/>
    <w:basedOn w:val="Normal"/>
    <w:next w:val="author"/>
    <w:pPr>
      <w:keepNext/>
      <w:keepLines/>
      <w:suppressAutoHyphens/>
      <w:spacing w:after="480" w:line="360" w:lineRule="atLeast"/>
      <w:ind w:firstLine="0"/>
      <w:jc w:val="center"/>
    </w:pPr>
    <w:rPr>
      <w:b/>
      <w:sz w:val="28"/>
    </w:rPr>
  </w:style>
  <w:style w:type="paragraph" w:customStyle="1" w:styleId="papersubtitle">
    <w:name w:val="papersubtitle"/>
    <w:basedOn w:val="papertitle"/>
    <w:next w:val="author"/>
    <w:pPr>
      <w:spacing w:before="120" w:line="280" w:lineRule="atLeast"/>
    </w:pPr>
    <w:rPr>
      <w:sz w:val="24"/>
    </w:rPr>
  </w:style>
  <w:style w:type="paragraph" w:customStyle="1" w:styleId="tablecaption">
    <w:name w:val="tablecaption"/>
    <w:basedOn w:val="Normal"/>
    <w:next w:val="Normal"/>
    <w:pPr>
      <w:keepNext/>
      <w:keepLines/>
      <w:spacing w:before="240" w:after="120" w:line="220" w:lineRule="atLeast"/>
      <w:ind w:firstLine="0"/>
      <w:jc w:val="center"/>
    </w:pPr>
    <w:rPr>
      <w:sz w:val="18"/>
    </w:rPr>
  </w:style>
  <w:style w:type="character" w:customStyle="1" w:styleId="url">
    <w:name w:val="url"/>
    <w:basedOn w:val="DefaultParagraphFont"/>
    <w:rPr>
      <w:rFonts w:ascii="Courier" w:hAnsi="Courier"/>
      <w:noProof/>
    </w:rPr>
  </w:style>
  <w:style w:type="character" w:customStyle="1" w:styleId="ORCID">
    <w:name w:val="ORCID"/>
    <w:basedOn w:val="DefaultParagraphFont"/>
    <w:rPr>
      <w:position w:val="0"/>
      <w:vertAlign w:val="superscript"/>
    </w:rPr>
  </w:style>
  <w:style w:type="paragraph" w:styleId="FootnoteText">
    <w:name w:val="footnote text"/>
    <w:basedOn w:val="Normal"/>
    <w:semiHidden/>
    <w:pPr>
      <w:spacing w:line="220" w:lineRule="atLeast"/>
      <w:ind w:left="227" w:hanging="227"/>
    </w:pPr>
    <w:rPr>
      <w:sz w:val="18"/>
    </w:rPr>
  </w:style>
  <w:style w:type="paragraph" w:customStyle="1" w:styleId="ReferenceLine">
    <w:name w:val="ReferenceLine"/>
    <w:basedOn w:val="p1a"/>
    <w:semiHidden/>
    <w:unhideWhenUsed/>
    <w:pPr>
      <w:spacing w:line="200" w:lineRule="exact"/>
    </w:pPr>
    <w:rPr>
      <w:sz w:val="16"/>
    </w:rPr>
  </w:style>
  <w:style w:type="character" w:styleId="UnresolvedMention">
    <w:name w:val="Unresolved Mention"/>
    <w:basedOn w:val="DefaultParagraphFont"/>
    <w:uiPriority w:val="99"/>
    <w:semiHidden/>
    <w:unhideWhenUsed/>
    <w:rsid w:val="008C7910"/>
    <w:rPr>
      <w:color w:val="605E5C"/>
      <w:shd w:val="clear" w:color="auto" w:fill="E1DFDD"/>
    </w:rPr>
  </w:style>
  <w:style w:type="table" w:styleId="TableGrid">
    <w:name w:val="Table Grid"/>
    <w:basedOn w:val="TableNormal"/>
    <w:rsid w:val="006F21DE"/>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semiHidden/>
    <w:rsid w:val="009C65E2"/>
    <w:pPr>
      <w:spacing w:line="240" w:lineRule="auto"/>
    </w:pPr>
  </w:style>
  <w:style w:type="character" w:styleId="CommentReference">
    <w:name w:val="annotation reference"/>
    <w:basedOn w:val="DefaultParagraphFont"/>
    <w:semiHidden/>
    <w:rsid w:val="009C65E2"/>
    <w:rPr>
      <w:sz w:val="16"/>
      <w:szCs w:val="16"/>
    </w:rPr>
  </w:style>
  <w:style w:type="paragraph" w:styleId="CommentText">
    <w:name w:val="annotation text"/>
    <w:basedOn w:val="Normal"/>
    <w:link w:val="CommentTextChar"/>
    <w:semiHidden/>
    <w:rsid w:val="009C65E2"/>
    <w:pPr>
      <w:spacing w:line="240" w:lineRule="auto"/>
    </w:pPr>
  </w:style>
  <w:style w:type="character" w:customStyle="1" w:styleId="CommentTextChar">
    <w:name w:val="Comment Text Char"/>
    <w:basedOn w:val="DefaultParagraphFont"/>
    <w:link w:val="CommentText"/>
    <w:semiHidden/>
    <w:rsid w:val="009C65E2"/>
  </w:style>
  <w:style w:type="paragraph" w:styleId="CommentSubject">
    <w:name w:val="annotation subject"/>
    <w:basedOn w:val="CommentText"/>
    <w:next w:val="CommentText"/>
    <w:link w:val="CommentSubjectChar"/>
    <w:semiHidden/>
    <w:rsid w:val="009C65E2"/>
    <w:rPr>
      <w:b/>
      <w:bCs/>
    </w:rPr>
  </w:style>
  <w:style w:type="character" w:customStyle="1" w:styleId="CommentSubjectChar">
    <w:name w:val="Comment Subject Char"/>
    <w:basedOn w:val="CommentTextChar"/>
    <w:link w:val="CommentSubject"/>
    <w:semiHidden/>
    <w:rsid w:val="009C65E2"/>
    <w:rPr>
      <w:b/>
      <w:bCs/>
    </w:rPr>
  </w:style>
  <w:style w:type="character" w:styleId="PlaceholderText">
    <w:name w:val="Placeholder Text"/>
    <w:basedOn w:val="DefaultParagraphFont"/>
    <w:semiHidden/>
    <w:rsid w:val="00AB73F5"/>
    <w:rPr>
      <w:color w:val="666666"/>
    </w:rPr>
  </w:style>
  <w:style w:type="paragraph" w:styleId="NormalWeb">
    <w:name w:val="Normal (Web)"/>
    <w:basedOn w:val="Normal"/>
    <w:uiPriority w:val="99"/>
    <w:semiHidden/>
    <w:unhideWhenUsed/>
    <w:rsid w:val="00797EDE"/>
    <w:pPr>
      <w:overflowPunct/>
      <w:autoSpaceDE/>
      <w:autoSpaceDN/>
      <w:adjustRightInd/>
      <w:spacing w:before="100" w:beforeAutospacing="1" w:after="100" w:afterAutospacing="1" w:line="240" w:lineRule="auto"/>
      <w:ind w:firstLine="0"/>
      <w:jc w:val="left"/>
      <w:textAlignment w:val="auto"/>
    </w:pPr>
    <w:rPr>
      <w:sz w:val="24"/>
      <w:szCs w:val="24"/>
      <w:lang w:val="en-IN" w:eastAsia="en-IN"/>
    </w:rPr>
  </w:style>
  <w:style w:type="character" w:customStyle="1" w:styleId="BodyTextChar">
    <w:name w:val="Body Text Char"/>
    <w:basedOn w:val="DefaultParagraphFont"/>
    <w:link w:val="BodyText"/>
    <w:uiPriority w:val="1"/>
    <w:qFormat/>
    <w:rsid w:val="00295C2A"/>
    <w:rPr>
      <w:sz w:val="24"/>
      <w:szCs w:val="24"/>
    </w:rPr>
  </w:style>
  <w:style w:type="paragraph" w:styleId="BodyText">
    <w:name w:val="Body Text"/>
    <w:basedOn w:val="Normal"/>
    <w:link w:val="BodyTextChar"/>
    <w:uiPriority w:val="1"/>
    <w:qFormat/>
    <w:rsid w:val="00295C2A"/>
    <w:pPr>
      <w:suppressAutoHyphens/>
      <w:overflowPunct/>
      <w:autoSpaceDE/>
      <w:autoSpaceDN/>
      <w:adjustRightInd/>
      <w:spacing w:before="122" w:line="240" w:lineRule="auto"/>
      <w:ind w:left="442" w:firstLine="0"/>
      <w:jc w:val="left"/>
      <w:textAlignment w:val="auto"/>
    </w:pPr>
    <w:rPr>
      <w:sz w:val="24"/>
      <w:szCs w:val="24"/>
    </w:rPr>
  </w:style>
  <w:style w:type="character" w:customStyle="1" w:styleId="BodyTextChar1">
    <w:name w:val="Body Text Char1"/>
    <w:basedOn w:val="DefaultParagraphFont"/>
    <w:semiHidden/>
    <w:rsid w:val="00295C2A"/>
  </w:style>
  <w:style w:type="paragraph" w:styleId="Caption">
    <w:name w:val="caption"/>
    <w:basedOn w:val="Normal"/>
    <w:next w:val="Normal"/>
    <w:uiPriority w:val="35"/>
    <w:unhideWhenUsed/>
    <w:qFormat/>
    <w:rsid w:val="00F70609"/>
    <w:pPr>
      <w:suppressAutoHyphens/>
      <w:overflowPunct/>
      <w:autoSpaceDE/>
      <w:autoSpaceDN/>
      <w:adjustRightInd/>
      <w:spacing w:before="122" w:after="200" w:line="240" w:lineRule="auto"/>
      <w:ind w:left="442" w:firstLine="0"/>
      <w:jc w:val="center"/>
      <w:textAlignment w:val="auto"/>
    </w:pPr>
    <w:rPr>
      <w:sz w:val="24"/>
      <w:szCs w:val="24"/>
    </w:rPr>
  </w:style>
  <w:style w:type="paragraph" w:styleId="ListParagraph">
    <w:name w:val="List Paragraph"/>
    <w:basedOn w:val="Normal"/>
    <w:semiHidden/>
    <w:rsid w:val="00004FB4"/>
    <w:pPr>
      <w:ind w:left="720"/>
      <w:contextualSpacing/>
    </w:pPr>
  </w:style>
  <w:style w:type="paragraph" w:customStyle="1" w:styleId="Els-body-text">
    <w:name w:val="Els-body-text"/>
    <w:rsid w:val="000B1432"/>
    <w:pPr>
      <w:spacing w:line="240" w:lineRule="exact"/>
      <w:ind w:firstLine="238"/>
      <w:jc w:val="both"/>
    </w:pPr>
    <w:rPr>
      <w:rFonts w:eastAsia="SimSun"/>
    </w:rPr>
  </w:style>
  <w:style w:type="paragraph" w:customStyle="1" w:styleId="Default">
    <w:name w:val="Default"/>
    <w:rsid w:val="00904279"/>
    <w:pPr>
      <w:autoSpaceDE w:val="0"/>
      <w:autoSpaceDN w:val="0"/>
      <w:adjustRightInd w:val="0"/>
      <w:spacing w:line="240" w:lineRule="auto"/>
    </w:pPr>
    <w:rPr>
      <w:color w:val="000000"/>
      <w:sz w:val="24"/>
      <w:szCs w:val="24"/>
      <w:lang w:val="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23482422">
      <w:bodyDiv w:val="1"/>
      <w:marLeft w:val="0"/>
      <w:marRight w:val="0"/>
      <w:marTop w:val="0"/>
      <w:marBottom w:val="0"/>
      <w:divBdr>
        <w:top w:val="none" w:sz="0" w:space="0" w:color="auto"/>
        <w:left w:val="none" w:sz="0" w:space="0" w:color="auto"/>
        <w:bottom w:val="none" w:sz="0" w:space="0" w:color="auto"/>
        <w:right w:val="none" w:sz="0" w:space="0" w:color="auto"/>
      </w:divBdr>
    </w:div>
    <w:div w:id="1612589653">
      <w:bodyDiv w:val="1"/>
      <w:marLeft w:val="0"/>
      <w:marRight w:val="0"/>
      <w:marTop w:val="0"/>
      <w:marBottom w:val="0"/>
      <w:divBdr>
        <w:top w:val="none" w:sz="0" w:space="0" w:color="auto"/>
        <w:left w:val="none" w:sz="0" w:space="0" w:color="auto"/>
        <w:bottom w:val="none" w:sz="0" w:space="0" w:color="auto"/>
        <w:right w:val="none" w:sz="0" w:space="0" w:color="auto"/>
      </w:divBdr>
    </w:div>
    <w:div w:id="16182169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Shounak.mitra@hilti.com"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3.emf"/><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microsoft.com/office/2007/relationships/hdphoto" Target="media/hdphoto1.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UI/_rels/customUI14.xml.rels><?xml version="1.0" encoding="UTF-8" standalone="yes"?>
<Relationships xmlns="http://schemas.openxmlformats.org/package/2006/relationships"><Relationship Id="removespace" Type="http://schemas.openxmlformats.org/officeDocument/2006/relationships/image" Target="images/removespace.ICO"/><Relationship Id="ORCID" Type="http://schemas.openxmlformats.org/officeDocument/2006/relationships/image" Target="images/ORCID.ICO"/><Relationship Id="papertitle" Type="http://schemas.openxmlformats.org/officeDocument/2006/relationships/image" Target="images/papertitle.ICO"/><Relationship Id="FigCaption" Type="http://schemas.openxmlformats.org/officeDocument/2006/relationships/image" Target="images/FigCaption16.ICO"/><Relationship Id="addspace" Type="http://schemas.openxmlformats.org/officeDocument/2006/relationships/image" Target="images/addspace.ICO"/><Relationship Id="arrowleft" Type="http://schemas.openxmlformats.org/officeDocument/2006/relationships/image" Target="images/arrowleft.ICO"/><Relationship Id="bulletitem" Type="http://schemas.openxmlformats.org/officeDocument/2006/relationships/image" Target="images/bulletitem.ICO"/><Relationship Id="togglenumbering" Type="http://schemas.openxmlformats.org/officeDocument/2006/relationships/image" Target="images/togglenumbering.ICO"/><Relationship Id="eqnumber" Type="http://schemas.openxmlformats.org/officeDocument/2006/relationships/image" Target="images/eqnumber.ICO"/><Relationship Id="normalspace" Type="http://schemas.openxmlformats.org/officeDocument/2006/relationships/image" Target="images/normalspace.ICO"/><Relationship Id="abstract" Type="http://schemas.openxmlformats.org/officeDocument/2006/relationships/image" Target="images/abstract.ICO"/><Relationship Id="arrowright" Type="http://schemas.openxmlformats.org/officeDocument/2006/relationships/image" Target="images/arrowright.ICO"/><Relationship Id="equation" Type="http://schemas.openxmlformats.org/officeDocument/2006/relationships/image" Target="images/equation.ICO"/><Relationship Id="RedoStyles" Type="http://schemas.openxmlformats.org/officeDocument/2006/relationships/image" Target="images/RedoStyles.ICO"/><Relationship Id="TabCaption" Type="http://schemas.openxmlformats.org/officeDocument/2006/relationships/image" Target="images/TabCaption16.ICO"/><Relationship Id="normal" Type="http://schemas.openxmlformats.org/officeDocument/2006/relationships/image" Target="images/normal32.ICO"/><Relationship Id="squeeze" Type="http://schemas.openxmlformats.org/officeDocument/2006/relationships/image" Target="images/squeeze.ICO"/><Relationship Id="expand" Type="http://schemas.openxmlformats.org/officeDocument/2006/relationships/image" Target="images/expand.ICO"/><Relationship Id="InsertImage" Type="http://schemas.openxmlformats.org/officeDocument/2006/relationships/image" Target="images/InsertImage16.ICO"/><Relationship Id="dashitem" Type="http://schemas.openxmlformats.org/officeDocument/2006/relationships/image" Target="images/dashitem.ICO"/><Relationship Id="numitem" Type="http://schemas.openxmlformats.org/officeDocument/2006/relationships/image" Target="images/numitem.ICO"/><Relationship Id="papersubtitle" Type="http://schemas.openxmlformats.org/officeDocument/2006/relationships/image" Target="images/subtitle.ICO"/><Relationship Id="HeaderFooter" Type="http://schemas.openxmlformats.org/officeDocument/2006/relationships/image" Target="images/HeaderFooter.ICO"/></Relationships>
</file>

<file path=customUI/customUI14.xml><?xml version="1.0" encoding="utf-8"?>
<customUI xmlns="http://schemas.microsoft.com/office/2009/07/customui" onLoad="LoadSpProcRibbon">
  <ribbon startFromScratch="false">
    <tabs>
      <tab id="tabSpProc" insertBeforeMso="TabHome" label="Springer Proceedings Macros">
        <group id="grTitlePage" label="Title Page" autoScale="true">
          <button id="btnTitle" label="Title" image="papertitle" size="large" onAction="MakeTitle" screentip="Format selected text as paper title"/>
          <button id="btnSubtitle" label="Subtitle" image="papersubtitle" size="large" onAction="MakeSubtitle" screentip="Format selected text as paper subtitle (optional)"/>
          <button id="btnAuthor" label="Author" imageMso="DistributionListSelectMembers" size="large" onAction="MakeAuthor" screentip="Format selected text as paper author(s)"/>
          <box id="box1" boxStyle="vertical">
            <button id="btnORCID" label="ORCID" image="ORCID" onAction="MakeORCID" screentip="Format selected text as ORCID id" supertip="Please note that ORCID ids will not be printed. In the online version they will be replaced by icons that are linked to the related ORCID pages."/>
            <button id="btnAddress" label="Address" imageMso="MailMergeAddressBlockInsert" onAction="MakeAddress" screentip="Format selected text as affiliation (including e-mail address, URL)"/>
            <button id="btnEmail" label="E-mail" imageMso="EnvelopesAndLabelsDialog" onAction="MakeEMail" screentip="Format selected text as e-mail address or URL (apply typewriter style)"/>
          </box>
          <button id="btnAbstract" label="Abstract" image="abstract" size="large" onAction="MakeAbstract" screentip="Format selected text as abstract" supertip="If not present, the word 'Abstract' is added at the beginning of the first paragraph."/>
          <button id="btnKeywords" label="Keywords" imageMso="ReviewTrackChanges" size="large" onAction="MakeKeywords" screentip="Format selected text as keywords" supertip="If not present, the word 'Keywords' is added at the beginning of the first paragraph."/>
        </group>
        <group id="grBasicFormats" image="lncs2" label="Basic Formats" autoScale="true">
          <button id="btnH1" label="H1" imageMso="PivotTableLayoutShowInOutlineForm" size="large" onAction="H1" screentip="Format selected text as heading (level 1)"/>
          <button id="btnH2" label="H2" imageMso="PivotTableLayoutShowInCompactForm" size="large" onAction="H2" screentip="Format selected text as heading (level 2)"/>
          <button id="btnH3" label="H3" imageMso="PivotTableLayoutBlankRows" size="large" onAction="H3" screentip="Format selected text as an unnumbered heading (level 3)"/>
          <button id="btnH4" label="H4" imageMso="PivotTableLayoutSubtotals" size="large" onAction="H4" screentip="Format selected text as an unnumbered heading (level 4)"/>
          <box id="box2" boxStyle="vertical">
            <button id="btnBullet" label="Bullet Item" image="bulletitem" onAction="MakeBulletItem" screentip="Format selected text as bullet item(s)" supertip="Please note that bullets are the default for unnumbered lists in Springer proceedings."/>
            <button id="btnDash" label="Dash Item" image="dashitem" onAction="MakeDashItem" screentip="Format selected text as dash item(s)" supertip="Please note that bullets are the default for unnumbered lists in Springer proceedings."/>
            <button id="btnNumbered" label="Num Item" image="numitem" onAction="MakeNumItem" screentip="Format selected text as numbered item(s)"/>
          </box>
          <box id="box3" boxStyle="vertical">
            <button id="btnListLevelUp" label="List Level +" image="arrowright" onAction="ListLevelUp" screentip="Move the selected text one level up in the list hierarchy" supertip="This buttton can be used to create and edit nested lists (numbered and unnumbered)."/>
            <button id="btnListLevelDown" label="List Level -" image="arrowleft" onAction="ListLevelDown" screentip="Move the selected text one level down in the list hierarchy" supertip="This buttton can be used to create and edit nested lists (numbered and unnumbered)."/>
            <button id="btnToggleNum" label=" 1../..n.." image="togglenumbering" onAction="RestartNumbering" screentip="Toggle between restarting and continuing a numbered list" supertip="Applies to numbered lists only."/>
          </box>
          <button id="btnStandard" label="Normal Text" image="normal" size="large" onAction="MakeStandard" screentip="Format the selection as normal text" supertip="This button can change both paragraph format and character style. If applied to a nonstandard paragraph, the standard paragraph format is applied. If applied to a standard paragraph, the standard character style is applied. If you want to both apply the standard paragraph format and remove a nonstandard character style, simply click on the button twice."/>
          <box id="box4" boxStyle="vertical">
            <button id="btnAddSpace" label="Add Space" image="addspace" onAction="AddVerticalSpace" screentip="Add 6 pt (2.1 mm) of vertical space before the selected paragraph."/>
            <button id="btnClearSpace" label="Clear Space" image="removespace" onAction="ClearVerticalSpace" screentip="Clear any vertical space before and after the selected text"/>
            <button id="btnFootnote" label="Footnote" imageMso="FootnoteInsert" onAction="InsertFN" screentip="Add a footnote"/>
          </box>
          <button id="btnReference" label="Reference Item" imageMso="NameManager" size="large" onAction="MakeRefItem" screentip="Format selected text as reference item"/>
        </group>
        <group id="grSpecialFormats" label="Figures, Tables, Equations" autoScale="true">
          <box id="box5" boxStyle="vertical">
            <button id="btnInsImage" label="Insert Image" image="InsertImage" onAction="InsertImage" screentip="Insert an image from a file."/>
            <button id="btnFigure" label="Figure Caption" image="FigCaption" onAction="MakeFigCaption" screentip="Format the selected text as figure caption" supertip="Please note that the figure is numbered with an automatic counter that is updated whenever you reopen the document. A figure caption should always be positioned below the related figure."/>
          </box>
          <separator id="separator1"/>
          <box id="box6" boxStyle="vertical">
            <button id="btnTable" label="Table Caption" image="TabCaption" onAction="MakeTableCaption" screentip="Format the selected text as table caption" supertip="Please note that the table is numbered with an automatic counter that is updated whenever you reopen the document. A table caption should always be positioned above the related table."/>
            <gallery idMso="TableInsertGallery" label="Insert Table"/>
          </box>
          <separator id="separator2"/>
          <button id="btnEquation" label="Displayed Equation" image="equation" size="large" onAction="MakeEquation" screentip="Format the selected text as a displayed equation"/>
          <button id="btnEqCounter" label="Add Eq. Number" image="eqnumber" size="large" onAction="AddEqCounter" screentip="Add an equation number to a selected equation" supertip="The equation numbering is updated whenever you open the document"/>
          <button id="btnProgcode" label="Prog. Code" imageMso="CreateStoredProcedure" size="large" onAction="MakeProgCode" screentip="Format the selected text as program code (typewriter style)"/>
        </group>
        <group id="grRestoreTemplate" label="Template" autoScale="true">
          <button id="btnRestTemplate" label="Check Styles" imageMso="AccessThemesGallery" size="large" onAction="RestoreSettings" screentip="Restore all styles" supertip="Use this button if the original template styles might have been altered or deleted."/>
        </group>
      </tab>
    </tabs>
  </ribbon>
</customUI>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109720-9CDA-4A90-8919-4955C77797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17</Pages>
  <Words>3020</Words>
  <Characters>17215</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dataspect IT-Services, Neckargemuend, Germany</Company>
  <LinksUpToDate>false</LinksUpToDate>
  <CharactersWithSpaces>20195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Markus Richter</dc:creator>
  <dc:description>Formats and macros for Springer Lecture Notes</dc:description>
  <cp:lastModifiedBy>Mitra, Shounak</cp:lastModifiedBy>
  <cp:revision>19</cp:revision>
  <dcterms:created xsi:type="dcterms:W3CDTF">2024-09-06T10:48:00Z</dcterms:created>
  <dcterms:modified xsi:type="dcterms:W3CDTF">2024-11-04T07:45:00Z</dcterms:modified>
</cp:coreProperties>
</file>